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Data Retention PRD</w:t>
      </w:r>
    </w:p>
    <w:p>
      <w:pPr>
        <w:spacing w:after="200"/>
      </w:pPr>
      <w:r>
        <w:rPr>
          <w:color w:val="464646"/>
          <w:sz w:val="26"/>
        </w:rPr>
        <w:t>Configurable lifecycle controls</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Let administrators select retention windows, hold exports, and review deletion impact before changes apply..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Let administrators select retention windows, hold exports, and review deletion impact before changes apply.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