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2E74B5"/>
          <w:sz w:val="20"/>
        </w:rPr>
        <w:t>PRODUCT REQUIREMENTS DOCUMENT</w:t>
      </w:r>
    </w:p>
    <w:p>
      <w:pPr>
        <w:spacing w:after="80"/>
      </w:pPr>
      <w:r>
        <w:rPr>
          <w:b/>
          <w:color w:val="0B2545"/>
          <w:sz w:val="46"/>
        </w:rPr>
        <w:t>Trusted Reporting PRD</w:t>
      </w:r>
    </w:p>
    <w:p>
      <w:pPr>
        <w:spacing w:after="200"/>
      </w:pPr>
      <w:r>
        <w:rPr>
          <w:color w:val="464646"/>
          <w:sz w:val="26"/>
        </w:rPr>
        <w:t>Decision-ready operational reporting</w:t>
      </w:r>
    </w:p>
    <w:tbl>
      <w:tblPr>
        <w:tblStyle w:val="TableGrid"/>
        <w:tblW w:type="auto" w:w="0"/>
        <w:jc w:val="left"/>
        <w:tblLook w:firstColumn="1" w:firstRow="1" w:lastColumn="0" w:lastRow="0" w:noHBand="0" w:noVBand="1" w:val="04A0"/>
      </w:tblPr>
      <w:tblGrid>
        <w:gridCol w:w="4968"/>
        <w:gridCol w:w="4968"/>
      </w:tblGrid>
      <w:tr>
        <w:tc>
          <w:tcPr>
            <w:tcW w:type="dxa" w:w="4968"/>
            <w:vAlign w:val="center"/>
            <w:shd w:fill="E8EEF5"/>
          </w:tcPr>
          <w:p>
            <w:r/>
            <w:r>
              <w:rPr>
                <w:b/>
                <w:sz w:val="19"/>
              </w:rPr>
              <w:t>Owner</w:t>
            </w:r>
          </w:p>
        </w:tc>
        <w:tc>
          <w:tcPr>
            <w:tcW w:type="dxa" w:w="4968"/>
            <w:vAlign w:val="center"/>
          </w:tcPr>
          <w:p>
            <w:r/>
            <w:r>
              <w:rPr>
                <w:b w:val="0"/>
                <w:sz w:val="19"/>
              </w:rPr>
              <w:t>Product Management</w:t>
            </w:r>
          </w:p>
        </w:tc>
      </w:tr>
      <w:tr>
        <w:tc>
          <w:tcPr>
            <w:tcW w:type="dxa" w:w="4968"/>
            <w:vAlign w:val="center"/>
            <w:shd w:fill="E8EEF5"/>
          </w:tcPr>
          <w:p>
            <w:r/>
            <w:r>
              <w:rPr>
                <w:b/>
                <w:sz w:val="19"/>
              </w:rPr>
              <w:t>Planning window</w:t>
            </w:r>
          </w:p>
        </w:tc>
        <w:tc>
          <w:tcPr>
            <w:tcW w:type="dxa" w:w="4968"/>
            <w:vAlign w:val="center"/>
          </w:tcPr>
          <w:p>
            <w:r/>
            <w:r>
              <w:rPr>
                <w:b w:val="0"/>
                <w:sz w:val="19"/>
              </w:rPr>
              <w:t>Q4 FY2026</w:t>
            </w:r>
          </w:p>
        </w:tc>
      </w:tr>
      <w:tr>
        <w:tc>
          <w:tcPr>
            <w:tcW w:type="dxa" w:w="4968"/>
            <w:vAlign w:val="center"/>
            <w:shd w:fill="E8EEF5"/>
          </w:tcPr>
          <w:p>
            <w:r/>
            <w:r>
              <w:rPr>
                <w:b/>
                <w:sz w:val="19"/>
              </w:rPr>
              <w:t>Decision gate</w:t>
            </w:r>
          </w:p>
        </w:tc>
        <w:tc>
          <w:tcPr>
            <w:tcW w:type="dxa" w:w="4968"/>
            <w:vAlign w:val="center"/>
          </w:tcPr>
          <w:p>
            <w:r/>
            <w:r>
              <w:rPr>
                <w:b w:val="0"/>
                <w:sz w:val="19"/>
              </w:rPr>
              <w:t>M-27 guided rollout: 2026-09-18</w:t>
            </w:r>
          </w:p>
        </w:tc>
      </w:tr>
      <w:tr>
        <w:tc>
          <w:tcPr>
            <w:tcW w:type="dxa" w:w="4968"/>
            <w:vAlign w:val="center"/>
            <w:shd w:fill="E8EEF5"/>
          </w:tcPr>
          <w:p>
            <w:r/>
            <w:r>
              <w:rPr>
                <w:b/>
                <w:sz w:val="19"/>
              </w:rPr>
              <w:t>Status</w:t>
            </w:r>
          </w:p>
        </w:tc>
        <w:tc>
          <w:tcPr>
            <w:tcW w:type="dxa" w:w="4968"/>
            <w:vAlign w:val="center"/>
          </w:tcPr>
          <w:p>
            <w:r/>
            <w:r>
              <w:rPr>
                <w:b w:val="0"/>
                <w:sz w:val="19"/>
              </w:rPr>
              <w:t>Draft for cross-functional review</w:t>
            </w:r>
          </w:p>
        </w:tc>
      </w:tr>
    </w:tbl>
    <w:p>
      <w:pPr>
        <w:pStyle w:val="Heading1"/>
      </w:pPr>
      <w:r>
        <w:t>Problem and outcome</w:t>
      </w:r>
    </w:p>
    <w:p>
      <w:r>
        <w:t>Ship governed report templates with freshness indicators and export controls for recurring product decisions.. Product Beta focuses on admin automation and trusted reporting, carrying forward the control and adoption lessons from Product Alpha Q3. Product Alpha Q3 baseline: 18.4% adoption across 1,240 synthetic workspaces, against a 26.0% Q3 target. M-27 is the guided rollout gate on 2026-09-18.</w:t>
      </w:r>
    </w:p>
    <w:p>
      <w:pPr>
        <w:pStyle w:val="Heading2"/>
      </w:pPr>
      <w:r>
        <w:t>Target outcome</w:t>
      </w:r>
    </w:p>
    <w:p>
      <w:pPr>
        <w:pStyle w:val="ListBullet"/>
      </w:pPr>
      <w:r>
        <w:t>Administrators complete the primary setup flow without a support handoff.</w:t>
      </w:r>
    </w:p>
    <w:p>
      <w:pPr>
        <w:pStyle w:val="ListBullet"/>
      </w:pPr>
      <w:r>
        <w:t>Report consumers can identify freshness, owner, and permitted export behavior.</w:t>
      </w:r>
    </w:p>
    <w:p>
      <w:pPr>
        <w:pStyle w:val="ListBullet"/>
      </w:pPr>
      <w:r>
        <w:t>The rollout produces a decision-quality readout before expanding beyond the guided cohort.</w:t>
      </w:r>
    </w:p>
    <w:p>
      <w:pPr>
        <w:pStyle w:val="Heading1"/>
      </w:pPr>
      <w:r>
        <w:t>Scope and non-goals</w:t>
      </w:r>
    </w:p>
    <w:p>
      <w:r>
        <w:t>In scope: governed configuration, observable outcomes, and a staged Q4 release. Out of scope: replacing all existing reporting, custom professional services, or migration of unvalidated legacy settings.</w:t>
      </w:r>
    </w:p>
    <w:p>
      <w:pPr>
        <w:pStyle w:val="Heading1"/>
      </w:pPr>
      <w:r>
        <w:t>Requirements and acceptance</w:t>
      </w:r>
    </w:p>
    <w:tbl>
      <w:tblPr>
        <w:tblStyle w:val="TableGrid"/>
        <w:tblW w:type="auto" w:w="0"/>
        <w:jc w:val="left"/>
        <w:tblLook w:firstColumn="1" w:firstRow="1" w:lastColumn="0" w:lastRow="0" w:noHBand="0" w:noVBand="1" w:val="04A0"/>
      </w:tblPr>
      <w:tblGrid>
        <w:gridCol w:w="3312"/>
        <w:gridCol w:w="3312"/>
        <w:gridCol w:w="3312"/>
      </w:tblGrid>
      <w:tr>
        <w:tc>
          <w:tcPr>
            <w:tcW w:type="dxa" w:w="3312"/>
            <w:vAlign w:val="center"/>
            <w:shd w:fill="F2F4F7"/>
          </w:tcPr>
          <w:p>
            <w:r/>
            <w:r>
              <w:rPr>
                <w:b/>
                <w:sz w:val="19"/>
              </w:rPr>
              <w:t>Requirement</w:t>
            </w:r>
          </w:p>
        </w:tc>
        <w:tc>
          <w:tcPr>
            <w:tcW w:type="dxa" w:w="3312"/>
            <w:vAlign w:val="center"/>
            <w:shd w:fill="F2F4F7"/>
          </w:tcPr>
          <w:p>
            <w:r/>
            <w:r>
              <w:rPr>
                <w:b/>
                <w:sz w:val="19"/>
              </w:rPr>
              <w:t>Acceptance evidence</w:t>
            </w:r>
          </w:p>
        </w:tc>
        <w:tc>
          <w:tcPr>
            <w:tcW w:type="dxa" w:w="3312"/>
            <w:vAlign w:val="center"/>
            <w:shd w:fill="F2F4F7"/>
          </w:tcPr>
          <w:p>
            <w:r/>
            <w:r>
              <w:rPr>
                <w:b/>
                <w:sz w:val="19"/>
              </w:rPr>
              <w:t>Owner</w:t>
            </w:r>
          </w:p>
        </w:tc>
      </w:tr>
      <w:tr>
        <w:tc>
          <w:tcPr>
            <w:tcW w:type="dxa" w:w="3312"/>
            <w:vAlign w:val="center"/>
          </w:tcPr>
          <w:p>
            <w:r/>
            <w:r>
              <w:rPr>
                <w:b w:val="0"/>
                <w:sz w:val="19"/>
              </w:rPr>
              <w:t>Ship governed report templates with freshness indicators and export controls for recurring product decisions. is configured by an authorized workspace administrator.</w:t>
            </w:r>
          </w:p>
        </w:tc>
        <w:tc>
          <w:tcPr>
            <w:tcW w:type="dxa" w:w="3312"/>
            <w:vAlign w:val="center"/>
          </w:tcPr>
          <w:p>
            <w:r/>
            <w:r>
              <w:rPr>
                <w:b w:val="0"/>
                <w:sz w:val="19"/>
              </w:rPr>
              <w:t>Role check and configuration event appear in audit history.</w:t>
            </w:r>
          </w:p>
        </w:tc>
        <w:tc>
          <w:tcPr>
            <w:tcW w:type="dxa" w:w="3312"/>
            <w:vAlign w:val="center"/>
          </w:tcPr>
          <w:p>
            <w:r/>
            <w:r>
              <w:rPr>
                <w:b w:val="0"/>
                <w:sz w:val="19"/>
              </w:rPr>
              <w:t>Admin platform</w:t>
            </w:r>
          </w:p>
        </w:tc>
      </w:tr>
      <w:tr>
        <w:tc>
          <w:tcPr>
            <w:tcW w:type="dxa" w:w="3312"/>
            <w:vAlign w:val="center"/>
          </w:tcPr>
          <w:p>
            <w:r/>
            <w:r>
              <w:rPr>
                <w:b w:val="0"/>
                <w:sz w:val="19"/>
              </w:rPr>
              <w:t>Every irreversible action shows scope, timing, and a confirmation path.</w:t>
            </w:r>
          </w:p>
        </w:tc>
        <w:tc>
          <w:tcPr>
            <w:tcW w:type="dxa" w:w="3312"/>
            <w:vAlign w:val="center"/>
          </w:tcPr>
          <w:p>
            <w:r/>
            <w:r>
              <w:rPr>
                <w:b w:val="0"/>
                <w:sz w:val="19"/>
              </w:rPr>
              <w:t>Usability review includes a successful cancel-and-retry path.</w:t>
            </w:r>
          </w:p>
        </w:tc>
        <w:tc>
          <w:tcPr>
            <w:tcW w:type="dxa" w:w="3312"/>
            <w:vAlign w:val="center"/>
          </w:tcPr>
          <w:p>
            <w:r/>
            <w:r>
              <w:rPr>
                <w:b w:val="0"/>
                <w:sz w:val="19"/>
              </w:rPr>
              <w:t>Product + Design</w:t>
            </w:r>
          </w:p>
        </w:tc>
      </w:tr>
      <w:tr>
        <w:tc>
          <w:tcPr>
            <w:tcW w:type="dxa" w:w="3312"/>
            <w:vAlign w:val="center"/>
          </w:tcPr>
          <w:p>
            <w:r/>
            <w:r>
              <w:rPr>
                <w:b w:val="0"/>
                <w:sz w:val="19"/>
              </w:rPr>
              <w:t>Status and failure states are actionable and exportable.</w:t>
            </w:r>
          </w:p>
        </w:tc>
        <w:tc>
          <w:tcPr>
            <w:tcW w:type="dxa" w:w="3312"/>
            <w:vAlign w:val="center"/>
          </w:tcPr>
          <w:p>
            <w:r/>
            <w:r>
              <w:rPr>
                <w:b w:val="0"/>
                <w:sz w:val="19"/>
              </w:rPr>
              <w:t>Support can reproduce a failure using a synthetic workspace fixture.</w:t>
            </w:r>
          </w:p>
        </w:tc>
        <w:tc>
          <w:tcPr>
            <w:tcW w:type="dxa" w:w="3312"/>
            <w:vAlign w:val="center"/>
          </w:tcPr>
          <w:p>
            <w:r/>
            <w:r>
              <w:rPr>
                <w:b w:val="0"/>
                <w:sz w:val="19"/>
              </w:rPr>
              <w:t>Engineering</w:t>
            </w:r>
          </w:p>
        </w:tc>
      </w:tr>
      <w:tr>
        <w:tc>
          <w:tcPr>
            <w:tcW w:type="dxa" w:w="3312"/>
            <w:vAlign w:val="center"/>
          </w:tcPr>
          <w:p>
            <w:r/>
            <w:r>
              <w:rPr>
                <w:b w:val="0"/>
                <w:sz w:val="19"/>
              </w:rPr>
              <w:t>The rollout is measured against a named baseline.</w:t>
            </w:r>
          </w:p>
        </w:tc>
        <w:tc>
          <w:tcPr>
            <w:tcW w:type="dxa" w:w="3312"/>
            <w:vAlign w:val="center"/>
          </w:tcPr>
          <w:p>
            <w:r/>
            <w:r>
              <w:rPr>
                <w:b w:val="0"/>
                <w:sz w:val="19"/>
              </w:rPr>
              <w:t>Weekly metric review includes adoption, completion, and error rate.</w:t>
            </w:r>
          </w:p>
        </w:tc>
        <w:tc>
          <w:tcPr>
            <w:tcW w:type="dxa" w:w="3312"/>
            <w:vAlign w:val="center"/>
          </w:tcPr>
          <w:p>
            <w:r/>
            <w:r>
              <w:rPr>
                <w:b w:val="0"/>
                <w:sz w:val="19"/>
              </w:rPr>
              <w:t>Analytics</w:t>
            </w:r>
          </w:p>
        </w:tc>
      </w:tr>
    </w:tbl>
    <w:p>
      <w:r>
        <w:br w:type="page"/>
      </w:r>
    </w:p>
    <w:p>
      <w:pPr>
        <w:pStyle w:val="Heading1"/>
      </w:pPr>
      <w:r>
        <w:t>Delivery plan</w:t>
      </w:r>
    </w:p>
    <w:p>
      <w:r>
        <w:t>Sequence the work behind the Alpha dependency: validate the guided rollout cohort at M-27, confirm configuration telemetry, then release the Beta capability to eligible administrators.</w:t>
      </w:r>
    </w:p>
    <w:p>
      <w:pPr>
        <w:pStyle w:val="Heading2"/>
      </w:pPr>
      <w:r>
        <w:t>Milestones</w:t>
      </w:r>
    </w:p>
    <w:p>
      <w:pPr>
        <w:pStyle w:val="ListBullet"/>
      </w:pPr>
      <w:r>
        <w:t>2026-09-18: M-27 guided rollout gate and Alpha dependency review.</w:t>
      </w:r>
    </w:p>
    <w:p>
      <w:pPr>
        <w:pStyle w:val="ListBullet"/>
      </w:pPr>
      <w:r>
        <w:t>2026-10-06: internal pilot with synthetic workspace fixtures.</w:t>
      </w:r>
    </w:p>
    <w:p>
      <w:pPr>
        <w:pStyle w:val="ListBullet"/>
      </w:pPr>
      <w:r>
        <w:t>2026-11-03: controlled availability for eligible enterprise administrators.</w:t>
      </w:r>
    </w:p>
    <w:p>
      <w:pPr>
        <w:pStyle w:val="ListBullet"/>
      </w:pPr>
      <w:r>
        <w:t>2026-12-08: Q4 outcome review and next-quarter recommendation.</w:t>
      </w:r>
    </w:p>
    <w:sectPr w:rsidR="00FC693F" w:rsidRPr="0006063C" w:rsidSect="00034616">
      <w:footerReference w:type="default" r:id="rId9"/>
      <w:head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 xml:space="preserve">Juniper Works - Internal planning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A5A5A"/>
        <w:sz w:val="18"/>
      </w:rPr>
      <w:t>JUNIPER WORKS  /  PRODUCT BETA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