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3D8DFF"/>
          <w:sz w:val="20"/>
        </w:rPr>
        <w:t>ASTER LEGAL  /  CONFIDENTIAL INTERNAL GOVERNANCE MEMO</w:t>
      </w:r>
    </w:p>
    <w:p>
      <w:pPr>
        <w:spacing w:after="120"/>
      </w:pPr>
      <w:r>
        <w:rPr>
          <w:rFonts w:ascii="Aptos" w:hAnsi="Aptos"/>
          <w:b/>
          <w:color w:val="101827"/>
          <w:sz w:val="52"/>
        </w:rPr>
        <w:t>Board briefing speaker memo</w:t>
      </w:r>
    </w:p>
    <w:p>
      <w:pPr>
        <w:spacing w:after="280"/>
      </w:pPr>
      <w:r>
        <w:rPr>
          <w:rFonts w:ascii="Aptos" w:hAnsi="Aptos"/>
          <w:b w:val="0"/>
          <w:color w:val="5B6472"/>
          <w:sz w:val="22"/>
        </w:rPr>
        <w:t>Matter Alpha AL-PA-2606  |  30 June 2026  |  Corporate Privacy Counsel</w:t>
      </w:r>
    </w:p>
    <w:p>
      <w:pPr>
        <w:spacing w:before="160" w:after="100"/>
      </w:pPr>
      <w:r>
        <w:rPr>
          <w:rFonts w:ascii="Aptos" w:hAnsi="Aptos"/>
          <w:b/>
          <w:color w:val="101B2D"/>
          <w:sz w:val="28"/>
        </w:rPr>
        <w:t>Purpose</w:t>
      </w:r>
    </w:p>
    <w:p>
      <w:pPr>
        <w:spacing w:after="120" w:line="269" w:lineRule="auto"/>
      </w:pPr>
      <w:r>
        <w:rPr>
          <w:rFonts w:ascii="Aptos" w:hAnsi="Aptos"/>
          <w:b w:val="0"/>
          <w:color w:val="101827"/>
          <w:sz w:val="21"/>
        </w:rPr>
        <w:t>Use this memo to present the Matter Alpha preservation status, seek authorization for the controlled exception-close process, and confirm the Board escalation posture through 12 July 2026.</w:t>
      </w:r>
    </w:p>
    <w:p>
      <w:pPr>
        <w:spacing w:before="160" w:after="100"/>
      </w:pPr>
      <w:r>
        <w:rPr>
          <w:rFonts w:ascii="Aptos" w:hAnsi="Aptos"/>
          <w:b/>
          <w:color w:val="101B2D"/>
          <w:sz w:val="28"/>
        </w:rPr>
        <w:t>Opening message</w:t>
      </w:r>
    </w:p>
    <w:p>
      <w:pPr>
        <w:spacing w:after="120" w:line="269" w:lineRule="auto"/>
      </w:pPr>
      <w:r>
        <w:rPr>
          <w:rFonts w:ascii="Aptos" w:hAnsi="Aptos"/>
          <w:b w:val="0"/>
          <w:color w:val="101827"/>
          <w:sz w:val="21"/>
        </w:rPr>
        <w:t>The preservation universe is stable at 42 targets. Evidence is complete for 38 targets. Four exceptions remain open, each with a named operational owner and a defined evidence requirement. The issue for the Board is not volume; it is whether to authorize a short, auditable closure path with an early escalation gate.</w:t>
      </w:r>
    </w:p>
    <w:p>
      <w:pPr>
        <w:spacing w:before="160" w:after="100"/>
      </w:pPr>
      <w:r>
        <w:rPr>
          <w:rFonts w:ascii="Aptos" w:hAnsi="Aptos"/>
          <w:b/>
          <w:color w:val="101B2D"/>
          <w:sz w:val="28"/>
        </w:rPr>
        <w:t>Speak to the decision</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01B2D"/>
            <w:vAlign w:val="center"/>
          </w:tcPr>
          <w:p>
            <w:r>
              <w:rPr>
                <w:rFonts w:ascii="Aptos" w:hAnsi="Aptos"/>
                <w:b/>
                <w:color w:val="FFFFFF"/>
                <w:sz w:val="18"/>
              </w:rPr>
              <w:t>Board ask</w:t>
            </w:r>
          </w:p>
        </w:tc>
        <w:tc>
          <w:tcPr>
            <w:tcW w:type="dxa" w:w="4536"/>
            <w:shd w:fill="101B2D"/>
            <w:vAlign w:val="center"/>
          </w:tcPr>
          <w:p>
            <w:r>
              <w:rPr>
                <w:rFonts w:ascii="Aptos" w:hAnsi="Aptos"/>
                <w:b/>
                <w:color w:val="FFFFFF"/>
                <w:sz w:val="18"/>
              </w:rPr>
              <w:t>What to say</w:t>
            </w:r>
          </w:p>
        </w:tc>
        <w:tc>
          <w:tcPr>
            <w:tcW w:type="dxa" w:w="2088"/>
            <w:shd w:fill="101B2D"/>
            <w:vAlign w:val="center"/>
          </w:tcPr>
          <w:p>
            <w:r>
              <w:rPr>
                <w:rFonts w:ascii="Aptos" w:hAnsi="Aptos"/>
                <w:b/>
                <w:color w:val="FFFFFF"/>
                <w:sz w:val="18"/>
              </w:rPr>
              <w:t>Owner / date</w:t>
            </w:r>
          </w:p>
        </w:tc>
      </w:tr>
      <w:tr>
        <w:tc>
          <w:tcPr>
            <w:tcW w:type="dxa" w:w="3360"/>
            <w:shd w:fill="F7F8FA"/>
            <w:vAlign w:val="center"/>
          </w:tcPr>
          <w:p>
            <w:pPr>
              <w:spacing w:after="60" w:before="60"/>
            </w:pPr>
            <w:r>
              <w:rPr>
                <w:rFonts w:ascii="Aptos" w:hAnsi="Aptos"/>
                <w:b/>
                <w:color w:val="101827"/>
                <w:sz w:val="18"/>
              </w:rPr>
              <w:t>Authorize closure</w:t>
            </w:r>
          </w:p>
        </w:tc>
        <w:tc>
          <w:tcPr>
            <w:tcW w:type="dxa" w:w="3360"/>
            <w:shd w:fill="F7F8FA"/>
            <w:vAlign w:val="center"/>
          </w:tcPr>
          <w:p>
            <w:pPr>
              <w:spacing w:after="60" w:before="60"/>
            </w:pPr>
            <w:r>
              <w:rPr>
                <w:rFonts w:ascii="Aptos" w:hAnsi="Aptos"/>
                <w:b w:val="0"/>
                <w:color w:val="101827"/>
                <w:sz w:val="18"/>
              </w:rPr>
              <w:t>Approve the four-exception closure path and maintain the 12 July deadline.</w:t>
            </w:r>
          </w:p>
        </w:tc>
        <w:tc>
          <w:tcPr>
            <w:tcW w:type="dxa" w:w="3360"/>
            <w:shd w:fill="F7F8FA"/>
            <w:vAlign w:val="center"/>
          </w:tcPr>
          <w:p>
            <w:pPr>
              <w:spacing w:after="60" w:before="60"/>
            </w:pPr>
            <w:r>
              <w:rPr>
                <w:rFonts w:ascii="Aptos" w:hAnsi="Aptos"/>
                <w:b w:val="0"/>
                <w:color w:val="101827"/>
                <w:sz w:val="18"/>
              </w:rPr>
              <w:t>Board / 30 Jun</w:t>
            </w:r>
          </w:p>
        </w:tc>
      </w:tr>
      <w:tr>
        <w:tc>
          <w:tcPr>
            <w:tcW w:type="dxa" w:w="3360"/>
            <w:shd w:fill="F7F8FA"/>
            <w:vAlign w:val="center"/>
          </w:tcPr>
          <w:p>
            <w:pPr>
              <w:spacing w:after="60" w:before="60"/>
            </w:pPr>
            <w:r>
              <w:rPr>
                <w:rFonts w:ascii="Aptos" w:hAnsi="Aptos"/>
                <w:b/>
                <w:color w:val="101827"/>
                <w:sz w:val="18"/>
              </w:rPr>
              <w:t>Confirm escalation</w:t>
            </w:r>
          </w:p>
        </w:tc>
        <w:tc>
          <w:tcPr>
            <w:tcW w:type="dxa" w:w="3360"/>
            <w:shd w:fill="F7F8FA"/>
            <w:vAlign w:val="center"/>
          </w:tcPr>
          <w:p>
            <w:pPr>
              <w:spacing w:after="60" w:before="60"/>
            </w:pPr>
            <w:r>
              <w:rPr>
                <w:rFonts w:ascii="Aptos" w:hAnsi="Aptos"/>
                <w:b w:val="0"/>
                <w:color w:val="101827"/>
                <w:sz w:val="18"/>
              </w:rPr>
              <w:t>Require escalation on 08 July if any evidence package is incomplete.</w:t>
            </w:r>
          </w:p>
        </w:tc>
        <w:tc>
          <w:tcPr>
            <w:tcW w:type="dxa" w:w="3360"/>
            <w:shd w:fill="F7F8FA"/>
            <w:vAlign w:val="center"/>
          </w:tcPr>
          <w:p>
            <w:pPr>
              <w:spacing w:after="60" w:before="60"/>
            </w:pPr>
            <w:r>
              <w:rPr>
                <w:rFonts w:ascii="Aptos" w:hAnsi="Aptos"/>
                <w:b w:val="0"/>
                <w:color w:val="101827"/>
                <w:sz w:val="18"/>
              </w:rPr>
              <w:t>Privacy Counsel</w:t>
            </w:r>
          </w:p>
        </w:tc>
      </w:tr>
      <w:tr>
        <w:tc>
          <w:tcPr>
            <w:tcW w:type="dxa" w:w="3360"/>
            <w:shd w:fill="F7F8FA"/>
            <w:vAlign w:val="center"/>
          </w:tcPr>
          <w:p>
            <w:pPr>
              <w:spacing w:after="60" w:before="60"/>
            </w:pPr>
            <w:r>
              <w:rPr>
                <w:rFonts w:ascii="Aptos" w:hAnsi="Aptos"/>
                <w:b/>
                <w:color w:val="101827"/>
                <w:sz w:val="18"/>
              </w:rPr>
              <w:t>Maintain evidence standard</w:t>
            </w:r>
          </w:p>
        </w:tc>
        <w:tc>
          <w:tcPr>
            <w:tcW w:type="dxa" w:w="3360"/>
            <w:shd w:fill="F7F8FA"/>
            <w:vAlign w:val="center"/>
          </w:tcPr>
          <w:p>
            <w:pPr>
              <w:spacing w:after="60" w:before="60"/>
            </w:pPr>
            <w:r>
              <w:rPr>
                <w:rFonts w:ascii="Aptos" w:hAnsi="Aptos"/>
                <w:b w:val="0"/>
                <w:color w:val="101827"/>
                <w:sz w:val="18"/>
              </w:rPr>
              <w:t>Close only after preservation evidence, owner sign-off, and legal review are recorded.</w:t>
            </w:r>
          </w:p>
        </w:tc>
        <w:tc>
          <w:tcPr>
            <w:tcW w:type="dxa" w:w="3360"/>
            <w:shd w:fill="F7F8FA"/>
            <w:vAlign w:val="center"/>
          </w:tcPr>
          <w:p>
            <w:pPr>
              <w:spacing w:after="60" w:before="60"/>
            </w:pPr>
            <w:r>
              <w:rPr>
                <w:rFonts w:ascii="Aptos" w:hAnsi="Aptos"/>
                <w:b w:val="0"/>
                <w:color w:val="101827"/>
                <w:sz w:val="18"/>
              </w:rPr>
              <w:t>All owners</w:t>
            </w:r>
          </w:p>
        </w:tc>
      </w:tr>
    </w:tbl>
    <w:p>
      <w:pPr>
        <w:spacing w:before="160" w:after="100"/>
      </w:pPr>
      <w:r>
        <w:rPr>
          <w:rFonts w:ascii="Aptos" w:hAnsi="Aptos"/>
          <w:b/>
          <w:color w:val="101B2D"/>
          <w:sz w:val="28"/>
        </w:rPr>
        <w:t>Exception close path</w:t>
      </w:r>
    </w:p>
    <w:p>
      <w:pPr>
        <w:spacing w:after="120" w:line="269" w:lineRule="auto"/>
      </w:pPr>
      <w:r>
        <w:rPr>
          <w:rFonts w:ascii="Aptos" w:hAnsi="Aptos"/>
          <w:b w:val="0"/>
          <w:color w:val="101827"/>
          <w:sz w:val="21"/>
        </w:rPr>
        <w:t>Records Operations will obtain custodian confirmations. IT Legal will validate repository access. Security Operations will preserve the retention snapshot. Corporate Privacy Counsel will review the vendor archive attestation. Each item is closed only with dated evidence and a recorded legal review.</w:t>
      </w:r>
    </w:p>
    <w:p>
      <w:pPr>
        <w:spacing w:before="160" w:after="100"/>
      </w:pPr>
      <w:r>
        <w:rPr>
          <w:rFonts w:ascii="Aptos" w:hAnsi="Aptos"/>
          <w:b/>
          <w:color w:val="101B2D"/>
          <w:sz w:val="28"/>
        </w:rPr>
        <w:t>Likely questions and concise responses</w:t>
      </w:r>
    </w:p>
    <w:p>
      <w:pPr>
        <w:spacing w:after="60"/>
      </w:pPr>
      <w:r>
        <w:rPr>
          <w:rFonts w:ascii="Aptos" w:hAnsi="Aptos"/>
          <w:b/>
          <w:color w:val="3D8DFF"/>
          <w:sz w:val="20"/>
        </w:rPr>
        <w:t xml:space="preserve">Q  </w:t>
      </w:r>
      <w:r>
        <w:rPr>
          <w:rFonts w:ascii="Aptos" w:hAnsi="Aptos"/>
          <w:b/>
          <w:color w:val="101827"/>
          <w:sz w:val="20"/>
        </w:rPr>
        <w:t>Why not extend the deadline now?</w:t>
      </w:r>
    </w:p>
    <w:p>
      <w:pPr>
        <w:spacing w:after="100"/>
        <w:ind w:left="259"/>
      </w:pPr>
      <w:r>
        <w:rPr>
          <w:rFonts w:ascii="Aptos" w:hAnsi="Aptos"/>
          <w:b/>
          <w:color w:val="3D8DFF"/>
          <w:sz w:val="20"/>
        </w:rPr>
        <w:t xml:space="preserve">A  </w:t>
      </w:r>
      <w:r>
        <w:rPr>
          <w:rFonts w:ascii="Aptos" w:hAnsi="Aptos"/>
          <w:b w:val="0"/>
          <w:color w:val="101827"/>
          <w:sz w:val="20"/>
        </w:rPr>
        <w:t>The current facts support a contained close-out. An 08 July escalation gate gives the Board notice before the final deadline if that assessment changes.</w:t>
      </w:r>
    </w:p>
    <w:p>
      <w:pPr>
        <w:spacing w:after="60"/>
      </w:pPr>
      <w:r>
        <w:rPr>
          <w:rFonts w:ascii="Aptos" w:hAnsi="Aptos"/>
          <w:b/>
          <w:color w:val="3D8DFF"/>
          <w:sz w:val="20"/>
        </w:rPr>
        <w:t xml:space="preserve">Q  </w:t>
      </w:r>
      <w:r>
        <w:rPr>
          <w:rFonts w:ascii="Aptos" w:hAnsi="Aptos"/>
          <w:b/>
          <w:color w:val="101827"/>
          <w:sz w:val="20"/>
        </w:rPr>
        <w:t>What would trigger further direction?</w:t>
      </w:r>
    </w:p>
    <w:p>
      <w:pPr>
        <w:spacing w:after="100"/>
        <w:ind w:left="259"/>
      </w:pPr>
      <w:r>
        <w:rPr>
          <w:rFonts w:ascii="Aptos" w:hAnsi="Aptos"/>
          <w:b/>
          <w:color w:val="3D8DFF"/>
          <w:sz w:val="20"/>
        </w:rPr>
        <w:t xml:space="preserve">A  </w:t>
      </w:r>
      <w:r>
        <w:rPr>
          <w:rFonts w:ascii="Aptos" w:hAnsi="Aptos"/>
          <w:b w:val="0"/>
          <w:color w:val="101827"/>
          <w:sz w:val="20"/>
        </w:rPr>
        <w:t>Missing evidence, conflicting repository data, or absent owner sign-off after the escalation gate.</w:t>
      </w:r>
    </w:p>
    <w:p>
      <w:pPr>
        <w:spacing w:after="60"/>
      </w:pPr>
      <w:r>
        <w:rPr>
          <w:rFonts w:ascii="Aptos" w:hAnsi="Aptos"/>
          <w:b/>
          <w:color w:val="3D8DFF"/>
          <w:sz w:val="20"/>
        </w:rPr>
        <w:t xml:space="preserve">Q  </w:t>
      </w:r>
      <w:r>
        <w:rPr>
          <w:rFonts w:ascii="Aptos" w:hAnsi="Aptos"/>
          <w:b/>
          <w:color w:val="101827"/>
          <w:sz w:val="20"/>
        </w:rPr>
        <w:t>Are we asserting a breach or finding?</w:t>
      </w:r>
    </w:p>
    <w:p>
      <w:pPr>
        <w:spacing w:after="100"/>
        <w:ind w:left="259"/>
      </w:pPr>
      <w:r>
        <w:rPr>
          <w:rFonts w:ascii="Aptos" w:hAnsi="Aptos"/>
          <w:b/>
          <w:color w:val="3D8DFF"/>
          <w:sz w:val="20"/>
        </w:rPr>
        <w:t xml:space="preserve">A  </w:t>
      </w:r>
      <w:r>
        <w:rPr>
          <w:rFonts w:ascii="Aptos" w:hAnsi="Aptos"/>
          <w:b w:val="0"/>
          <w:color w:val="101827"/>
          <w:sz w:val="20"/>
        </w:rPr>
        <w:t>No. This briefing addresses preservation governance and evidentiary closure only.</w:t>
      </w:r>
    </w:p>
    <w:p>
      <w:pPr>
        <w:spacing w:before="160" w:after="100"/>
      </w:pPr>
      <w:r>
        <w:rPr>
          <w:rFonts w:ascii="Aptos" w:hAnsi="Aptos"/>
          <w:b/>
          <w:color w:val="101B2D"/>
          <w:sz w:val="28"/>
        </w:rPr>
        <w:t>Close</w:t>
      </w:r>
    </w:p>
    <w:p>
      <w:pPr>
        <w:spacing w:after="120" w:line="269" w:lineRule="auto"/>
      </w:pPr>
      <w:r>
        <w:rPr>
          <w:rFonts w:ascii="Aptos" w:hAnsi="Aptos"/>
          <w:b w:val="0"/>
          <w:color w:val="101827"/>
          <w:sz w:val="21"/>
        </w:rPr>
        <w:t>Ask the Board to authorize the closure path, preserve escalation authority through 12 July, and receive the exception evidence package at the 08 July gate if any item is not ready to close.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472"/>
        <w:sz w:val="16"/>
      </w:rPr>
      <w:t>Synthetic training artifact — no personal data, client data, or privileged matter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