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2" w:space="8" w:color="007C83"/>
        </w:pBdr>
      </w:pPr>
      <w:r>
        <w:rPr>
          <w:b/>
          <w:color w:val="17365D"/>
          <w:sz w:val="38"/>
        </w:rPr>
        <w:t>EXECUTIVE SUMMARY | WORKING DRAFT</w:t>
      </w:r>
    </w:p>
    <w:p>
      <w:pPr>
        <w:spacing w:after="280"/>
      </w:pPr>
      <w:r>
        <w:rPr>
          <w:color w:val="52616B"/>
          <w:sz w:val="18"/>
        </w:rPr>
        <w:t>Aster Legal  •  AL-PA-2606  •  Matter Alpha  •  Review date: 2026-06-30  •  Internal working copy</w:t>
      </w:r>
    </w:p>
    <w:p>
      <w:pPr>
        <w:pStyle w:val="Heading1"/>
      </w:pPr>
      <w:r>
        <w:t>Purpose and decision request</w:t>
      </w:r>
    </w:p>
    <w:p>
      <w:pPr>
        <w:spacing w:after="180"/>
      </w:pPr>
      <w:r>
        <w:t>This working summary records the privacy-law review posture for the synthetic Matter Alpha preservation exercise. It is a planning aid, not legal advice or a privileged communication. Decision requested: approve the narrow, time-bound exception workflow below while the four unresolved review items are closed.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672"/>
        <w:gridCol w:w="3528"/>
      </w:tblGrid>
      <w:tr>
        <w:tc>
          <w:tcPr>
            <w:tcW w:type="dxa" w:w="3389"/>
            <w:shd w:fill="17365D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Current position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Counsel view</w:t>
            </w:r>
          </w:p>
        </w:tc>
      </w:tr>
      <w:tr>
        <w:tc>
          <w:tcPr>
            <w:tcW w:type="dxa" w:w="2592"/>
            <w:shd w:fill="F2F6F8"/>
            <w:vAlign w:val="center"/>
          </w:tcPr>
          <w:p>
            <w:pPr>
              <w:spacing w:after="60"/>
            </w:pPr>
            <w:r/>
            <w:r>
              <w:rPr>
                <w:b/>
                <w:color w:val="17365D"/>
                <w:sz w:val="17"/>
              </w:rPr>
              <w:t>Preservation population</w:t>
            </w:r>
          </w:p>
        </w:tc>
        <w:tc>
          <w:tcPr>
            <w:tcW w:type="dxa" w:w="3672"/>
            <w:shd w:fill="F2F6F8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42 custodial sources identified</w:t>
            </w:r>
          </w:p>
        </w:tc>
        <w:tc>
          <w:tcPr>
            <w:tcW w:type="dxa" w:w="3528"/>
            <w:shd w:fill="F2F6F8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Maintain scoped hold; do not expand without documented trigger.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after="60"/>
            </w:pPr>
            <w:r/>
            <w:r>
              <w:rPr>
                <w:b/>
                <w:color w:val="17365D"/>
                <w:sz w:val="17"/>
              </w:rPr>
              <w:t>Disposition review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38 cleared; 4 in targeted review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Complete the four reviews before any disposition action.</w:t>
            </w:r>
          </w:p>
        </w:tc>
      </w:tr>
      <w:tr>
        <w:tc>
          <w:tcPr>
            <w:tcW w:type="dxa" w:w="2592"/>
            <w:shd w:fill="F2F6F8"/>
            <w:vAlign w:val="center"/>
          </w:tcPr>
          <w:p>
            <w:pPr>
              <w:spacing w:after="60"/>
            </w:pPr>
            <w:r/>
            <w:r>
              <w:rPr>
                <w:b/>
                <w:color w:val="17365D"/>
                <w:sz w:val="17"/>
              </w:rPr>
              <w:t>Exception window</w:t>
            </w:r>
          </w:p>
        </w:tc>
        <w:tc>
          <w:tcPr>
            <w:tcW w:type="dxa" w:w="3672"/>
            <w:shd w:fill="F2F6F8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Ends 2026-07-12</w:t>
            </w:r>
          </w:p>
        </w:tc>
        <w:tc>
          <w:tcPr>
            <w:tcW w:type="dxa" w:w="3528"/>
            <w:shd w:fill="F2F6F8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Permit only logged, minimum-necessary handling during the window.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after="60"/>
            </w:pPr>
            <w:r/>
            <w:r>
              <w:rPr>
                <w:b/>
                <w:color w:val="17365D"/>
                <w:sz w:val="17"/>
              </w:rPr>
              <w:t>DLP activity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53 signals: 48 closed; 5 escalated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Keep escalations limited to factual, role-based follow-up.</w:t>
            </w:r>
          </w:p>
        </w:tc>
      </w:tr>
      <w:tr>
        <w:tc>
          <w:tcPr>
            <w:tcW w:type="dxa" w:w="2592"/>
            <w:shd w:fill="F2F6F8"/>
            <w:vAlign w:val="center"/>
          </w:tcPr>
          <w:p>
            <w:pPr>
              <w:spacing w:after="60"/>
            </w:pPr>
            <w:r/>
            <w:r>
              <w:rPr>
                <w:b/>
                <w:color w:val="17365D"/>
                <w:sz w:val="17"/>
              </w:rPr>
              <w:t>Records posture</w:t>
            </w:r>
          </w:p>
        </w:tc>
        <w:tc>
          <w:tcPr>
            <w:tcW w:type="dxa" w:w="3672"/>
            <w:shd w:fill="F2F6F8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Matter tracker and DLP cues aligned</w:t>
            </w:r>
          </w:p>
        </w:tc>
        <w:tc>
          <w:tcPr>
            <w:tcW w:type="dxa" w:w="3528"/>
            <w:shd w:fill="F2F6F8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Keep status updates factual and access-controlled.</w:t>
            </w:r>
          </w:p>
        </w:tc>
      </w:tr>
    </w:tbl>
    <w:p/>
    <w:p>
      <w:pPr>
        <w:pStyle w:val="Heading1"/>
      </w:pPr>
      <w:r>
        <w:t>Recommended controls</w:t>
      </w:r>
    </w:p>
    <w:p>
      <w:pPr>
        <w:pStyle w:val="ListBullet"/>
      </w:pPr>
      <w:r>
        <w:t>Keep the preserved population fixed at 42 unless the matter lead documents a material reason to adjust scope.</w:t>
      </w:r>
    </w:p>
    <w:p>
      <w:pPr>
        <w:pStyle w:val="ListBullet"/>
      </w:pPr>
      <w:r>
        <w:t>Route the four unresolved items through a two-person review: privacy counsel plus the designated DLP reviewer.</w:t>
      </w:r>
    </w:p>
    <w:p>
      <w:pPr>
        <w:pStyle w:val="ListBullet"/>
      </w:pPr>
      <w:r>
        <w:t>Record each exception with purpose, minimum necessary data category, approver role, and planned closure date.</w:t>
      </w:r>
    </w:p>
    <w:p>
      <w:pPr>
        <w:pStyle w:val="ListBullet"/>
      </w:pPr>
      <w:r>
        <w:t>At the 2026-07-12 deadline, close exceptions or elevate a new written request; no automatic extensions.</w:t>
      </w:r>
    </w:p>
    <w:p>
      <w:pPr>
        <w:pStyle w:val="Heading1"/>
      </w:pPr>
      <w:r>
        <w:t>Open items and next checkpoint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4"/>
            <w:vAlign w:val="center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Next checkpoint: 2026-07-08. Confirm that the four targeted reviews have an owner, a recorded outcome, and no unlogged exception remains active.</w:t>
            </w:r>
          </w:p>
        </w:tc>
      </w:tr>
    </w:tbl>
    <w:p>
      <w:r>
        <w:rPr>
          <w:i/>
        </w:rPr>
        <w:t>Document control: Synthetic training artifact. Names, counts, and dates are fabricated for corpus production. No personal data, credentials, or case materials are included.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Matter Alpha Executive Summary - Working Draft</dc:title>
  <dc:subject>Synthetic privacy review summary</dc:subject>
  <dc:creator>Aster Legal (Synthetic)</dc:creator>
  <cp:keywords/>
  <dc:description>Synthetic training artifact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