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0"/>
        </w:rPr>
        <w:t>Legal Intake Routing</w:t>
      </w:r>
    </w:p>
    <w:p>
      <w:pPr>
        <w:jc w:val="center"/>
      </w:pPr>
      <w:r>
        <w:rPr>
          <w:i/>
        </w:rPr>
        <w:t>Aster Legal | Matter Alpha | Effective 2026-06-30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3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Routing control: preserve the 42-item set; obtain any HR exception decision by 2026-07-12.</w:t>
            </w:r>
          </w:p>
        </w:tc>
      </w:tr>
    </w:tbl>
    <w:p>
      <w:pPr>
        <w:pStyle w:val="Heading2"/>
      </w:pPr>
      <w:r>
        <w:t>Purpose</w:t>
      </w:r>
    </w:p>
    <w:p>
      <w:r>
        <w:t>This synthetic operating guide routes Matter Alpha requests to the accountable team without embedding client, employee, or privileged information. It is a coordination aid, not legal advice.</w:t>
      </w:r>
    </w:p>
    <w:p>
      <w:pPr>
        <w:pStyle w:val="Heading2"/>
      </w:pPr>
      <w:r>
        <w:t>Intake decision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088"/>
            <w:shd w:fill="0F6B7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Request signal</w:t>
            </w:r>
          </w:p>
        </w:tc>
        <w:tc>
          <w:tcPr>
            <w:tcW w:type="dxa" w:w="1152"/>
            <w:shd w:fill="0F6B7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Route to</w:t>
            </w:r>
          </w:p>
        </w:tc>
        <w:tc>
          <w:tcPr>
            <w:tcW w:type="dxa" w:w="1512"/>
            <w:shd w:fill="0F6B7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Accountable owner</w:t>
            </w:r>
          </w:p>
        </w:tc>
        <w:tc>
          <w:tcPr>
            <w:tcW w:type="dxa" w:w="3168"/>
            <w:shd w:fill="0F6B7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Required handoff</w:t>
            </w:r>
          </w:p>
        </w:tc>
        <w:tc>
          <w:tcPr>
            <w:tcW w:type="dxa" w:w="1440"/>
            <w:shd w:fill="0F6B7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Timing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New Matter Alpha request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Legal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Legal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Matter record and approved hold instruction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Same business day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Data category or retention question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Privacy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Privacy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Custodian map to IT/DLP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Before preservation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System lock or collection action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IT/DLP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Preservation receipt for 42-item set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After approval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Personnel-related exception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HR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HR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Written exception decision to Legal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By 2026-07-12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Final evidence trail check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Legal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Legal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Counsel confirmation to steering group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After all receipts</w:t>
            </w:r>
          </w:p>
        </w:tc>
      </w:tr>
    </w:tbl>
    <w:p>
      <w:pPr>
        <w:pStyle w:val="Heading2"/>
      </w:pPr>
      <w:r>
        <w:t>Routing rules</w:t>
      </w:r>
    </w:p>
    <w:p>
      <w:pPr>
        <w:pStyle w:val="ListBullet"/>
      </w:pPr>
      <w:r>
        <w:t>Legal owns matter opening, hold language, proportionality decisions, and counsel confirmation.</w:t>
      </w:r>
    </w:p>
    <w:p>
      <w:pPr>
        <w:pStyle w:val="ListBullet"/>
      </w:pPr>
      <w:r>
        <w:t>Privacy maps data categories and advises on scope before IT and DLP act.</w:t>
      </w:r>
    </w:p>
    <w:p>
      <w:pPr>
        <w:pStyle w:val="ListBullet"/>
      </w:pPr>
      <w:r>
        <w:t>IT is accountable for preservation implementation; DLP performs validation and documents the receipt.</w:t>
      </w:r>
    </w:p>
    <w:p>
      <w:pPr>
        <w:pStyle w:val="ListBullet"/>
      </w:pPr>
      <w:r>
        <w:t>HR owns personnel exception review. An exception is not effective until Legal records the decision.</w:t>
      </w:r>
    </w:p>
    <w:p>
      <w:pPr>
        <w:pStyle w:val="Heading2"/>
      </w:pPr>
      <w:r>
        <w:t>Escalation path</w:t>
      </w:r>
    </w:p>
    <w:p>
      <w:r>
        <w:t>Escalate immediately to Legal when scope, authority, system availability, or the 2026-07-12 exception deadline could affect preservation. Record the question, proposed action, and decision owner; do not transmit personal data in the intake note.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Aster Legal | Matter Alpha | Synthetic training artifact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6B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