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Data Processing Addendum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v3.0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Alpha Data Services LLC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Scope and precedence. </w:t>
      </w:r>
      <w:r>
        <w:rPr>
          <w:rFonts w:ascii="Calibri" w:hAnsi="Calibri"/>
          <w:b w:val="0"/>
        </w:rPr>
        <w:t>Process Personal Data only on documented Controller instructions; this DPA controls on privacy conflicts.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Security and assistance. </w:t>
      </w:r>
      <w:r>
        <w:rPr>
          <w:rFonts w:ascii="Calibri" w:hAnsi="Calibri"/>
          <w:b w:val="0"/>
        </w:rPr>
        <w:t>Maintain appropriate measures, assist with rights requests and DPIAs, and bind approved Subprocessors.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Incident notice. </w:t>
      </w:r>
      <w:r>
        <w:rPr>
          <w:rFonts w:ascii="Calibri" w:hAnsi="Calibri"/>
          <w:b w:val="0"/>
        </w:rPr>
        <w:t>Notify Controller without undue delay after confirming a Personal Data Incident and provide available assessment information.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service description, processing locations, and operational notice target.]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Processing Addendum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