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b/>
          <w:color w:val="2E74B5"/>
          <w:sz w:val="36"/>
        </w:rPr>
        <w:t>Security Schedule</w:t>
      </w:r>
    </w:p>
    <w:p>
      <w:r>
        <w:rPr>
          <w:rFonts w:ascii="Calibri" w:hAnsi="Calibri"/>
          <w:b w:val="0"/>
          <w:color w:val="555555"/>
          <w:sz w:val="18"/>
        </w:rPr>
        <w:t>Aster Legal | Matter Alpha AL-PA-2606 | Draft dated 30 June 2026 | Synthetic working draft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Ind w:w="120" w:type="dxa"/>
      </w:tblPr>
      <w:tblGrid>
        <w:gridCol w:w="4680"/>
        <w:gridCol w:w="4680"/>
      </w:tblGrid>
      <w:tr>
        <w:tc>
          <w:tcPr>
            <w:tcW w:type="dxa" w:w="1700"/>
            <w:shd w:fill="E8EEF5"/>
          </w:tcPr>
          <w:p>
            <w:r>
              <w:rPr>
                <w:rFonts w:ascii="Calibri" w:hAnsi="Calibri"/>
                <w:b/>
                <w:color w:val="1F4D78"/>
              </w:rPr>
              <w:t>Document control</w:t>
            </w:r>
          </w:p>
        </w:tc>
        <w:tc>
          <w:tcPr>
            <w:tcW w:type="dxa" w:w="7660"/>
          </w:tcPr>
          <w:p>
            <w:r>
              <w:rPr>
                <w:rFonts w:ascii="Calibri" w:hAnsi="Calibri"/>
                <w:b w:val="0"/>
              </w:rPr>
              <w:t>v2.0 | Negotiation review</w:t>
            </w:r>
          </w:p>
        </w:tc>
      </w:tr>
      <w:tr>
        <w:tc>
          <w:tcPr>
            <w:tcW w:type="dxa" w:w="1700"/>
            <w:shd w:fill="E8EEF5"/>
          </w:tcPr>
          <w:p>
            <w:r>
              <w:rPr>
                <w:rFonts w:ascii="Calibri" w:hAnsi="Calibri"/>
                <w:b/>
                <w:color w:val="1F4D78"/>
              </w:rPr>
              <w:t>Counterparty</w:t>
            </w:r>
          </w:p>
        </w:tc>
        <w:tc>
          <w:tcPr>
            <w:tcW w:type="dxa" w:w="7660"/>
          </w:tcPr>
          <w:p>
            <w:r>
              <w:rPr>
                <w:rFonts w:ascii="Calibri" w:hAnsi="Calibri"/>
                <w:b w:val="0"/>
              </w:rPr>
              <w:t>Alpha Data Services LLC</w:t>
            </w:r>
          </w:p>
        </w:tc>
      </w:tr>
      <w:tr>
        <w:tc>
          <w:tcPr>
            <w:tcW w:type="dxa" w:w="1700"/>
            <w:shd w:fill="E8EEF5"/>
          </w:tcPr>
          <w:p>
            <w:r>
              <w:rPr>
                <w:rFonts w:ascii="Calibri" w:hAnsi="Calibri"/>
                <w:b/>
                <w:color w:val="1F4D78"/>
              </w:rPr>
              <w:t>Status</w:t>
            </w:r>
          </w:p>
        </w:tc>
        <w:tc>
          <w:tcPr>
            <w:tcW w:type="dxa" w:w="7660"/>
          </w:tcPr>
          <w:p>
            <w:r>
              <w:rPr>
                <w:rFonts w:ascii="Calibri" w:hAnsi="Calibri"/>
                <w:b w:val="0"/>
              </w:rPr>
              <w:t>Draft only - confirmation required</w:t>
            </w:r>
          </w:p>
        </w:tc>
      </w:tr>
    </w:tbl>
    <w:p>
      <w:pPr>
        <w:pStyle w:val="Heading2"/>
      </w:pPr>
      <w:r>
        <w:t>Purpose</w:t>
      </w:r>
    </w:p>
    <w:p>
      <w:r>
        <w:t>Fully synthetic Aster Legal negotiation draft. This document frames privacy and security obligations for review; it is not an executed agreement, advice, or real-party record.</w:t>
      </w:r>
    </w:p>
    <w:p>
      <w:pPr>
        <w:pStyle w:val="Heading2"/>
      </w:pPr>
      <w:r>
        <w:t>Draft provisions</w:t>
      </w:r>
    </w:p>
    <w:p>
      <w:pPr>
        <w:spacing w:after="120"/>
      </w:pPr>
      <w:r>
        <w:rPr>
          <w:rFonts w:ascii="Calibri" w:hAnsi="Calibri"/>
          <w:b/>
          <w:color w:val="1F4D78"/>
        </w:rPr>
        <w:t xml:space="preserve">1. Security program. </w:t>
      </w:r>
      <w:r>
        <w:rPr>
          <w:rFonts w:ascii="Calibri" w:hAnsi="Calibri"/>
          <w:b w:val="0"/>
        </w:rPr>
        <w:t>Maintain a documented risk-based security program with accountable ownership and annual review.</w:t>
      </w:r>
    </w:p>
    <w:p>
      <w:pPr>
        <w:spacing w:after="120"/>
      </w:pPr>
      <w:r>
        <w:rPr>
          <w:rFonts w:ascii="Calibri" w:hAnsi="Calibri"/>
          <w:b/>
          <w:color w:val="1F4D78"/>
        </w:rPr>
        <w:t xml:space="preserve">2. Baseline controls. </w:t>
      </w:r>
      <w:r>
        <w:rPr>
          <w:rFonts w:ascii="Calibri" w:hAnsi="Calibri"/>
          <w:b w:val="0"/>
        </w:rPr>
        <w:t>Use MFA, least privilege, encryption, logging, vulnerability remediation, backup tests, and training.</w:t>
      </w:r>
    </w:p>
    <w:p>
      <w:pPr>
        <w:spacing w:after="120"/>
      </w:pPr>
      <w:r>
        <w:rPr>
          <w:rFonts w:ascii="Calibri" w:hAnsi="Calibri"/>
          <w:b/>
          <w:color w:val="1F4D78"/>
        </w:rPr>
        <w:t xml:space="preserve">3. Assurance. </w:t>
      </w:r>
      <w:r>
        <w:rPr>
          <w:rFonts w:ascii="Calibri" w:hAnsi="Calibri"/>
          <w:b w:val="0"/>
        </w:rPr>
        <w:t>Provide current reasonable assurance materials and maintain a risk-based remediation plan.</w:t>
      </w:r>
    </w:p>
    <w:p>
      <w:pPr>
        <w:spacing w:after="120"/>
      </w:pPr>
      <w:r>
        <w:rPr>
          <w:rFonts w:ascii="Calibri" w:hAnsi="Calibri"/>
          <w:b/>
          <w:color w:val="1F4D78"/>
        </w:rPr>
        <w:t xml:space="preserve">4. Negotiation placeholder. </w:t>
      </w:r>
      <w:r>
        <w:rPr>
          <w:rFonts w:ascii="Calibri" w:hAnsi="Calibri"/>
          <w:b w:val="0"/>
        </w:rPr>
        <w:t>[Confirm whether the assurance deliverable is a report, letter, or questionnaire.]</w:t>
      </w:r>
    </w:p>
    <w:p>
      <w:pPr>
        <w:pStyle w:val="Heading2"/>
      </w:pPr>
      <w:r>
        <w:t>Review checklist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b w:val="0"/>
        </w:rPr>
        <w:t>Confirm scope and definitions against the final order form.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b w:val="0"/>
        </w:rPr>
        <w:t>Resolve bracketed placeholders before external circulation.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b w:val="0"/>
        </w:rPr>
        <w:t>Align incident, transfer, retention, and audit terms across the agreement suite.</w:t>
      </w:r>
    </w:p>
    <w:p>
      <w:r>
        <w:rPr>
          <w:rFonts w:ascii="Calibri" w:hAnsi="Calibri"/>
          <w:b w:val="0"/>
          <w:color w:val="555555"/>
          <w:sz w:val="18"/>
        </w:rPr>
        <w:t>Matter anchor: Matter Alpha / AL-PA-2606 | preservation population 42 | exception deadline 12 July 2026.</w:t>
      </w:r>
    </w:p>
    <w:sectPr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color w:val="666666"/>
        <w:sz w:val="16"/>
      </w:rPr>
      <w:t>Synthetic working draft | v2.0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b/>
        <w:color w:val="0B2545"/>
        <w:sz w:val="18"/>
      </w:rPr>
      <w:t>ASTER LEGAL | PRIVACY CONTRACTS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Security Schedule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