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Controller-Processor Terms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v1.0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Cinder Bay Processing Ltd.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Role allocation. </w:t>
      </w:r>
      <w:r>
        <w:rPr>
          <w:rFonts w:ascii="Calibri" w:hAnsi="Calibri"/>
          <w:b w:val="0"/>
        </w:rPr>
        <w:t>Customer is Controller and Cinder Bay Processing Ltd. is Processor for Customer Personal Data.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Documented processing. </w:t>
      </w:r>
      <w:r>
        <w:rPr>
          <w:rFonts w:ascii="Calibri" w:hAnsi="Calibri"/>
          <w:b w:val="0"/>
        </w:rPr>
        <w:t>Processor will follow lawful documented instructions and flag any instruction reasonably believed unlawful.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Personnel and Subprocessors. </w:t>
      </w:r>
      <w:r>
        <w:rPr>
          <w:rFonts w:ascii="Calibri" w:hAnsi="Calibri"/>
          <w:b w:val="0"/>
        </w:rPr>
        <w:t>Bind staff to confidentiality and impose materially equivalent obligations on approved Subprocessors.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[Confirm the instruction contact and final service schedule.]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Controller-Processor Terms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