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Data Transfer Addendum</w:t>
      </w:r>
    </w:p>
    <w:p>
      <w:r>
        <w:rPr>
          <w:rFonts w:ascii="Calibri" w:hAnsi="Calibri"/>
          <w:b w:val="0"/>
          <w:color w:val="555555"/>
          <w:sz w:val="18"/>
        </w:rPr>
        <w:t>Aster Legal | Matter Alpha AL-PA-2606 | Draft dated 30 June 2026 | Synthetic working draft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Document control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v2.0 | Negotiation review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Counterparty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Cinder Bay Processing Ltd.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Draft only - confirmation required</w:t>
            </w:r>
          </w:p>
        </w:tc>
      </w:tr>
    </w:tbl>
    <w:p>
      <w:pPr>
        <w:pStyle w:val="Heading2"/>
      </w:pPr>
      <w:r>
        <w:t>Purpose</w:t>
      </w:r>
    </w:p>
    <w:p>
      <w:r>
        <w:t>Fully synthetic Aster Legal negotiation draft. This document frames privacy and security obligations for review; it is not an executed agreement, advice, or real-party record.</w:t>
      </w:r>
    </w:p>
    <w:p>
      <w:pPr>
        <w:pStyle w:val="Heading2"/>
      </w:pPr>
      <w:r>
        <w:t>Draft provisions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1. Transfer scope. </w:t>
      </w:r>
      <w:r>
        <w:rPr>
          <w:rFonts w:ascii="Calibri" w:hAnsi="Calibri"/>
          <w:b w:val="0"/>
        </w:rPr>
        <w:t>Applies to restricted transfers of Personal Data connected with the service.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2. Transfer mechanism. </w:t>
      </w:r>
      <w:r>
        <w:rPr>
          <w:rFonts w:ascii="Calibri" w:hAnsi="Calibri"/>
          <w:b w:val="0"/>
        </w:rPr>
        <w:t>Use the approved mechanism selected in the order form and complete annexes before transfer.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3. Supplementary measures. </w:t>
      </w:r>
      <w:r>
        <w:rPr>
          <w:rFonts w:ascii="Calibri" w:hAnsi="Calibri"/>
          <w:b w:val="0"/>
        </w:rPr>
        <w:t>Apply encryption, access controls, transparency commitments, and challenge procedures proportionate to transfer risk.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4. Negotiation placeholder. </w:t>
      </w:r>
      <w:r>
        <w:rPr>
          <w:rFonts w:ascii="Calibri" w:hAnsi="Calibri"/>
          <w:b w:val="0"/>
        </w:rPr>
        <w:t>[Select the transfer mechanism and approved processing regions.]</w:t>
      </w:r>
    </w:p>
    <w:p>
      <w:pPr>
        <w:pStyle w:val="Heading2"/>
      </w:pPr>
      <w:r>
        <w:t>Review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Confirm scope and definitions against the final order form.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Resolve bracketed placeholders before external circulation.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Align incident, transfer, retention, and audit terms across the agreement suite.</w:t>
      </w:r>
    </w:p>
    <w:p>
      <w:r>
        <w:rPr>
          <w:rFonts w:ascii="Calibri" w:hAnsi="Calibri"/>
          <w:b w:val="0"/>
          <w:color w:val="555555"/>
          <w:sz w:val="18"/>
        </w:rPr>
        <w:t>Matter anchor: Matter Alpha / AL-PA-2606 | preservation population 42 | exception deadline 12 July 2026.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Synthetic working draft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B2545"/>
        <w:sz w:val="18"/>
      </w:rPr>
      <w:t>ASTER LEGAL | PRIVACY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Transfer Addendum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