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36"/>
        </w:rPr>
        <w:t>Subprocessor Notice and Objection Process</w:t>
      </w:r>
    </w:p>
    <w:p>
      <w:r>
        <w:rPr>
          <w:rFonts w:ascii="Calibri" w:hAnsi="Calibri"/>
          <w:b w:val="0"/>
          <w:color w:val="555555"/>
          <w:sz w:val="18"/>
        </w:rPr>
        <w:t>Aster Legal | Matter Alpha AL-PA-2606 | Draft dated 30 June 2026 | Synthetic working draft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Document control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v1.0 | Negotiation review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Counterparty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Cinder Bay Processing Ltd.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Status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Draft only - confirmation required</w:t>
            </w:r>
          </w:p>
        </w:tc>
      </w:tr>
    </w:tbl>
    <w:p>
      <w:pPr>
        <w:pStyle w:val="Heading2"/>
      </w:pPr>
      <w:r>
        <w:t>Purpose</w:t>
      </w:r>
    </w:p>
    <w:p>
      <w:r>
        <w:t>Fully synthetic Aster Legal negotiation draft. This document frames privacy and security obligations for review; it is not an executed agreement, advice, or real-party record.</w:t>
      </w:r>
    </w:p>
    <w:p>
      <w:pPr>
        <w:pStyle w:val="Heading2"/>
      </w:pPr>
      <w:r>
        <w:t>Draft provisions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1. Notice. </w:t>
      </w:r>
      <w:r>
        <w:rPr>
          <w:rFonts w:ascii="Calibri" w:hAnsi="Calibri"/>
          <w:b w:val="0"/>
        </w:rPr>
        <w:t>Maintain a current list and provide 30 days prior notice of a new Subprocessor.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2. Objection. </w:t>
      </w:r>
      <w:r>
        <w:rPr>
          <w:rFonts w:ascii="Calibri" w:hAnsi="Calibri"/>
          <w:b w:val="0"/>
        </w:rPr>
        <w:t>Customer may object on reasonable data-protection grounds and identify a proposed mitigation.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3. Resolution. </w:t>
      </w:r>
      <w:r>
        <w:rPr>
          <w:rFonts w:ascii="Calibri" w:hAnsi="Calibri"/>
          <w:b w:val="0"/>
        </w:rPr>
        <w:t>Work in good faith; if no mitigation is feasible, Customer may terminate the affected component.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4. Negotiation placeholder. </w:t>
      </w:r>
      <w:r>
        <w:rPr>
          <w:rFonts w:ascii="Calibri" w:hAnsi="Calibri"/>
          <w:b w:val="0"/>
        </w:rPr>
        <w:t>[Insert notification channel and confirm the objection period.]</w:t>
      </w:r>
    </w:p>
    <w:p>
      <w:pPr>
        <w:pStyle w:val="Heading2"/>
      </w:pPr>
      <w:r>
        <w:t>Review checklist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Confirm scope and definitions against the final order form.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Resolve bracketed placeholders before external circulation.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Align incident, transfer, retention, and audit terms across the agreement suite.</w:t>
      </w:r>
    </w:p>
    <w:p>
      <w:r>
        <w:rPr>
          <w:rFonts w:ascii="Calibri" w:hAnsi="Calibri"/>
          <w:b w:val="0"/>
          <w:color w:val="555555"/>
          <w:sz w:val="18"/>
        </w:rPr>
        <w:t>Matter anchor: Matter Alpha / AL-PA-2606 | preservation population 42 | exception deadline 12 July 2026.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>Synthetic working draft |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0B2545"/>
        <w:sz w:val="18"/>
      </w:rPr>
      <w:t>ASTER LEGAL | PRIVACY CONTRACTS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Subprocessor Notice and Objection Process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