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/>
          <w:b/>
          <w:color w:val="2E74B5"/>
          <w:sz w:val="36"/>
        </w:rPr>
        <w:t>Cloud Services Privacy Rider</w:t>
      </w:r>
    </w:p>
    <w:p>
      <w:r>
        <w:rPr>
          <w:rFonts w:ascii="Calibri" w:hAnsi="Calibri"/>
          <w:b w:val="0"/>
          <w:color w:val="555555"/>
          <w:sz w:val="18"/>
        </w:rPr>
        <w:t>Aster Legal | Matter Alpha AL-PA-2606 | Draft dated 30 June 2026 | Synthetic working draft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Ind w:w="120" w:type="dxa"/>
      </w:tblPr>
      <w:tblGrid>
        <w:gridCol w:w="4680"/>
        <w:gridCol w:w="4680"/>
      </w:tblGrid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Document control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v1.2 | Negotiation review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Counterparty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Northline Cloud Systems (synthetic)</w:t>
            </w:r>
          </w:p>
        </w:tc>
      </w:tr>
      <w:tr>
        <w:tc>
          <w:tcPr>
            <w:tcW w:type="dxa" w:w="1700"/>
            <w:shd w:fill="E8EEF5"/>
          </w:tcPr>
          <w:p>
            <w:r>
              <w:rPr>
                <w:rFonts w:ascii="Calibri" w:hAnsi="Calibri"/>
                <w:b/>
                <w:color w:val="1F4D78"/>
              </w:rPr>
              <w:t>Status</w:t>
            </w:r>
          </w:p>
        </w:tc>
        <w:tc>
          <w:tcPr>
            <w:tcW w:type="dxa" w:w="7660"/>
          </w:tcPr>
          <w:p>
            <w:r>
              <w:rPr>
                <w:rFonts w:ascii="Calibri" w:hAnsi="Calibri"/>
                <w:b w:val="0"/>
              </w:rPr>
              <w:t>Draft only - confirmation required</w:t>
            </w:r>
          </w:p>
        </w:tc>
      </w:tr>
    </w:tbl>
    <w:p>
      <w:pPr>
        <w:pStyle w:val="Heading2"/>
      </w:pPr>
      <w:r>
        <w:t>Purpose</w:t>
      </w:r>
    </w:p>
    <w:p>
      <w:r>
        <w:t>Fully synthetic Aster Legal negotiation draft. This document frames privacy and security obligations for review; it is not an executed agreement, advice, or real-party record.</w:t>
      </w:r>
    </w:p>
    <w:p>
      <w:pPr>
        <w:pStyle w:val="Heading2"/>
      </w:pPr>
      <w:r>
        <w:t>Draft provisions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1. Service data boundary. </w:t>
      </w:r>
      <w:r>
        <w:rPr>
          <w:rFonts w:ascii="Calibri" w:hAnsi="Calibri"/>
          <w:b w:val="0"/>
        </w:rPr>
        <w:t>Process Customer Content, account identifiers, and telemetry only to operate, secure, and support the service.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2. No sale or advertising use. </w:t>
      </w:r>
      <w:r>
        <w:rPr>
          <w:rFonts w:ascii="Calibri" w:hAnsi="Calibri"/>
          <w:b w:val="0"/>
        </w:rPr>
        <w:t>Do not sell Personal Data or use it for cross-context behavioral advertising.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3. Retention and deletion. </w:t>
      </w:r>
      <w:r>
        <w:rPr>
          <w:rFonts w:ascii="Calibri" w:hAnsi="Calibri"/>
          <w:b w:val="0"/>
        </w:rPr>
        <w:t>Return or delete Customer Content after the agreed exit process, subject to documented legal retention.</w:t>
      </w:r>
    </w:p>
    <w:p>
      <w:pPr>
        <w:spacing w:after="120"/>
      </w:pPr>
      <w:r>
        <w:rPr>
          <w:rFonts w:ascii="Calibri" w:hAnsi="Calibri"/>
          <w:b/>
          <w:color w:val="1F4D78"/>
        </w:rPr>
        <w:t xml:space="preserve">4. Negotiation placeholder. </w:t>
      </w:r>
      <w:r>
        <w:rPr>
          <w:rFonts w:ascii="Calibri" w:hAnsi="Calibri"/>
          <w:b w:val="0"/>
        </w:rPr>
        <w:t>[Confirm telemetry categories and termination deletion period.]</w:t>
      </w:r>
    </w:p>
    <w:p>
      <w:pPr>
        <w:pStyle w:val="Heading2"/>
      </w:pPr>
      <w:r>
        <w:t>Review checklist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Confirm scope and definitions against the final order form.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Resolve bracketed placeholders before external circulation.</w:t>
      </w:r>
    </w:p>
    <w:p>
      <w:pPr>
        <w:pStyle w:val="ListBullet"/>
        <w:spacing w:after="80"/>
        <w:ind w:left="540" w:hanging="271"/>
      </w:pPr>
      <w:r>
        <w:rPr>
          <w:rFonts w:ascii="Calibri" w:hAnsi="Calibri"/>
          <w:b w:val="0"/>
        </w:rPr>
        <w:t>Align incident, transfer, retention, and audit terms across the agreement suite.</w:t>
      </w:r>
    </w:p>
    <w:p>
      <w:r>
        <w:rPr>
          <w:rFonts w:ascii="Calibri" w:hAnsi="Calibri"/>
          <w:b w:val="0"/>
          <w:color w:val="555555"/>
          <w:sz w:val="18"/>
        </w:rPr>
        <w:t>Matter anchor: Matter Alpha / AL-PA-2606 | preservation population 42 | exception deadline 12 July 2026.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666666"/>
        <w:sz w:val="16"/>
      </w:rPr>
      <w:t>Synthetic working draft | v1.2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b/>
        <w:color w:val="0B2545"/>
        <w:sz w:val="18"/>
      </w:rPr>
      <w:t>ASTER LEGAL | PRIVACY CONTRACTS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 Services Privacy Rider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