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36"/>
        </w:rPr>
        <w:t>Data Return Plan</w:t>
      </w:r>
    </w:p>
    <w:p>
      <w:r>
        <w:rPr>
          <w:rFonts w:ascii="Calibri" w:hAnsi="Calibri"/>
          <w:b w:val="0"/>
          <w:color w:val="555555"/>
          <w:sz w:val="18"/>
        </w:rPr>
        <w:t>Aster Legal | Matter Alpha AL-PA-2606 | Draft dated 30 June 2026 | Synthetic working draft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Document control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v1.1 | Negotiation review</w:t>
            </w:r>
          </w:p>
        </w:tc>
      </w:tr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Counterparty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[Provider legal name]</w:t>
            </w:r>
          </w:p>
        </w:tc>
      </w:tr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Status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Draft only - confirmation required</w:t>
            </w:r>
          </w:p>
        </w:tc>
      </w:tr>
    </w:tbl>
    <w:p>
      <w:pPr>
        <w:pStyle w:val="Heading2"/>
      </w:pPr>
      <w:r>
        <w:t>Purpose</w:t>
      </w:r>
    </w:p>
    <w:p>
      <w:r>
        <w:t>Fully synthetic Aster Legal negotiation draft. This document frames privacy and security obligations for review; it is not an executed agreement, advice, or real-party record.</w:t>
      </w:r>
    </w:p>
    <w:p>
      <w:pPr>
        <w:pStyle w:val="Heading2"/>
      </w:pPr>
      <w:r>
        <w:t>Draft provisions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1. Objective. </w:t>
      </w:r>
      <w:r>
        <w:rPr>
          <w:rFonts w:ascii="Calibri" w:hAnsi="Calibri"/>
          <w:b w:val="0"/>
        </w:rPr>
        <w:t>Set out a controlled return of Customer Personal Data at termination or written request.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2. Export method. </w:t>
      </w:r>
      <w:r>
        <w:rPr>
          <w:rFonts w:ascii="Calibri" w:hAnsi="Calibri"/>
          <w:b w:val="0"/>
        </w:rPr>
        <w:t>Provide a standard export using a secure authenticated channel; Customer validates receipt and destination controls.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3. Transition controls. </w:t>
      </w:r>
      <w:r>
        <w:rPr>
          <w:rFonts w:ascii="Calibri" w:hAnsi="Calibri"/>
          <w:b w:val="0"/>
        </w:rPr>
        <w:t>Name contacts, freeze nonessential changes, track exceptions, and confirm acceptance before deletion.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4. Negotiation placeholder. </w:t>
      </w:r>
      <w:r>
        <w:rPr>
          <w:rFonts w:ascii="Calibri" w:hAnsi="Calibri"/>
          <w:b w:val="0"/>
        </w:rPr>
        <w:t>[Complete format, handover owner, acceptance window, and assisted-migration terms.]</w:t>
      </w:r>
    </w:p>
    <w:p>
      <w:pPr>
        <w:pStyle w:val="Heading2"/>
      </w:pPr>
      <w:r>
        <w:t>Review checklist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Confirm scope and definitions against the final order form.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Resolve bracketed placeholders before external circulation.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Align incident, transfer, retention, and audit terms across the agreement suite.</w:t>
      </w:r>
    </w:p>
    <w:p>
      <w:r>
        <w:rPr>
          <w:rFonts w:ascii="Calibri" w:hAnsi="Calibri"/>
          <w:b w:val="0"/>
          <w:color w:val="555555"/>
          <w:sz w:val="18"/>
        </w:rPr>
        <w:t>Matter anchor: Matter Alpha / AL-PA-2606 | preservation population 42 | exception deadline 12 July 2026.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>Synthetic working draft | v1.1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0B2545"/>
        <w:sz w:val="18"/>
      </w:rPr>
      <w:t>ASTER LEGAL | PRIVACY CONTRACTS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Return Plan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