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Privacy Incident Notice Clause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v1.0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[Processor legal name]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Trigger. </w:t>
      </w:r>
      <w:r>
        <w:rPr>
          <w:rFonts w:ascii="Calibri" w:hAnsi="Calibri"/>
          <w:b w:val="0"/>
        </w:rPr>
        <w:t>Notify Controller without undue delay after awareness of a confirmed Personal Data Incident.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Initial content. </w:t>
      </w:r>
      <w:r>
        <w:rPr>
          <w:rFonts w:ascii="Calibri" w:hAnsi="Calibri"/>
          <w:b w:val="0"/>
        </w:rPr>
        <w:t>Describe known nature, affected service, containment, available categories, and responsible contact.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Updates and cooperation. </w:t>
      </w:r>
      <w:r>
        <w:rPr>
          <w:rFonts w:ascii="Calibri" w:hAnsi="Calibri"/>
          <w:b w:val="0"/>
        </w:rPr>
        <w:t>Provide material updates and reasonable cooperation for assessment and remediation.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[Confirm internal escalation path and target initial interval.]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Incident Notice Clause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