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2E74B5"/>
          <w:sz w:val="36"/>
        </w:rPr>
        <w:t>Records of Processing Clause</w:t>
      </w:r>
    </w:p>
    <w:p>
      <w:r>
        <w:rPr>
          <w:rFonts w:ascii="Calibri" w:hAnsi="Calibri"/>
          <w:b w:val="0"/>
          <w:color w:val="555555"/>
          <w:sz w:val="18"/>
        </w:rPr>
        <w:t>Aster Legal | Matter Alpha AL-PA-2606 | Draft dated 30 June 2026 | Synthetic working draft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4680"/>
        <w:gridCol w:w="4680"/>
      </w:tblGrid>
      <w:tr>
        <w:tc>
          <w:tcPr>
            <w:tcW w:type="dxa" w:w="1700"/>
            <w:shd w:fill="E8EEF5"/>
          </w:tcPr>
          <w:p>
            <w:r>
              <w:rPr>
                <w:rFonts w:ascii="Calibri" w:hAnsi="Calibri"/>
                <w:b/>
                <w:color w:val="1F4D78"/>
              </w:rPr>
              <w:t>Document control</w:t>
            </w:r>
          </w:p>
        </w:tc>
        <w:tc>
          <w:tcPr>
            <w:tcW w:type="dxa" w:w="7660"/>
          </w:tcPr>
          <w:p>
            <w:r>
              <w:rPr>
                <w:rFonts w:ascii="Calibri" w:hAnsi="Calibri"/>
                <w:b w:val="0"/>
              </w:rPr>
              <w:t>v1.0 | Negotiation review</w:t>
            </w:r>
          </w:p>
        </w:tc>
      </w:tr>
      <w:tr>
        <w:tc>
          <w:tcPr>
            <w:tcW w:type="dxa" w:w="1700"/>
            <w:shd w:fill="E8EEF5"/>
          </w:tcPr>
          <w:p>
            <w:r>
              <w:rPr>
                <w:rFonts w:ascii="Calibri" w:hAnsi="Calibri"/>
                <w:b/>
                <w:color w:val="1F4D78"/>
              </w:rPr>
              <w:t>Counterparty</w:t>
            </w:r>
          </w:p>
        </w:tc>
        <w:tc>
          <w:tcPr>
            <w:tcW w:type="dxa" w:w="7660"/>
          </w:tcPr>
          <w:p>
            <w:r>
              <w:rPr>
                <w:rFonts w:ascii="Calibri" w:hAnsi="Calibri"/>
                <w:b w:val="0"/>
              </w:rPr>
              <w:t>[Processor legal name]</w:t>
            </w:r>
          </w:p>
        </w:tc>
      </w:tr>
      <w:tr>
        <w:tc>
          <w:tcPr>
            <w:tcW w:type="dxa" w:w="1700"/>
            <w:shd w:fill="E8EEF5"/>
          </w:tcPr>
          <w:p>
            <w:r>
              <w:rPr>
                <w:rFonts w:ascii="Calibri" w:hAnsi="Calibri"/>
                <w:b/>
                <w:color w:val="1F4D78"/>
              </w:rPr>
              <w:t>Status</w:t>
            </w:r>
          </w:p>
        </w:tc>
        <w:tc>
          <w:tcPr>
            <w:tcW w:type="dxa" w:w="7660"/>
          </w:tcPr>
          <w:p>
            <w:r>
              <w:rPr>
                <w:rFonts w:ascii="Calibri" w:hAnsi="Calibri"/>
                <w:b w:val="0"/>
              </w:rPr>
              <w:t>Draft only - confirmation required</w:t>
            </w:r>
          </w:p>
        </w:tc>
      </w:tr>
    </w:tbl>
    <w:p>
      <w:pPr>
        <w:pStyle w:val="Heading2"/>
      </w:pPr>
      <w:r>
        <w:t>Purpose</w:t>
      </w:r>
    </w:p>
    <w:p>
      <w:r>
        <w:t>Fully synthetic Aster Legal negotiation draft. This document frames privacy and security obligations for review; it is not an executed agreement, advice, or real-party record.</w:t>
      </w:r>
    </w:p>
    <w:p>
      <w:pPr>
        <w:pStyle w:val="Heading2"/>
      </w:pPr>
      <w:r>
        <w:t>Draft provisions</w:t>
      </w:r>
    </w:p>
    <w:p>
      <w:pPr>
        <w:spacing w:after="120"/>
      </w:pPr>
      <w:r>
        <w:rPr>
          <w:rFonts w:ascii="Calibri" w:hAnsi="Calibri"/>
          <w:b/>
          <w:color w:val="1F4D78"/>
        </w:rPr>
        <w:t xml:space="preserve">1. Records. </w:t>
      </w:r>
      <w:r>
        <w:rPr>
          <w:rFonts w:ascii="Calibri" w:hAnsi="Calibri"/>
          <w:b w:val="0"/>
        </w:rPr>
        <w:t>Maintain written records of processing activities as required by applicable data protection law.</w:t>
      </w:r>
    </w:p>
    <w:p>
      <w:pPr>
        <w:spacing w:after="120"/>
      </w:pPr>
      <w:r>
        <w:rPr>
          <w:rFonts w:ascii="Calibri" w:hAnsi="Calibri"/>
          <w:b/>
          <w:color w:val="1F4D78"/>
        </w:rPr>
        <w:t xml:space="preserve">2. Minimum content. </w:t>
      </w:r>
      <w:r>
        <w:rPr>
          <w:rFonts w:ascii="Calibri" w:hAnsi="Calibri"/>
          <w:b w:val="0"/>
        </w:rPr>
        <w:t>Identify parties, processing, categories, recipients, transfers, retention, and security measures.</w:t>
      </w:r>
    </w:p>
    <w:p>
      <w:pPr>
        <w:spacing w:after="120"/>
      </w:pPr>
      <w:r>
        <w:rPr>
          <w:rFonts w:ascii="Calibri" w:hAnsi="Calibri"/>
          <w:b/>
          <w:color w:val="1F4D78"/>
        </w:rPr>
        <w:t xml:space="preserve">3. Availability. </w:t>
      </w:r>
      <w:r>
        <w:rPr>
          <w:rFonts w:ascii="Calibri" w:hAnsi="Calibri"/>
          <w:b w:val="0"/>
        </w:rPr>
        <w:t>Make relevant records available on reasonable request, subject to confidentiality and legal restrictions.</w:t>
      </w:r>
    </w:p>
    <w:p>
      <w:pPr>
        <w:spacing w:after="120"/>
      </w:pPr>
      <w:r>
        <w:rPr>
          <w:rFonts w:ascii="Calibri" w:hAnsi="Calibri"/>
          <w:b/>
          <w:color w:val="1F4D78"/>
        </w:rPr>
        <w:t xml:space="preserve">4. Negotiation placeholder. </w:t>
      </w:r>
      <w:r>
        <w:rPr>
          <w:rFonts w:ascii="Calibri" w:hAnsi="Calibri"/>
          <w:b w:val="0"/>
        </w:rPr>
        <w:t>[Confirm Customer-specific record fields.]</w:t>
      </w:r>
    </w:p>
    <w:p>
      <w:pPr>
        <w:pStyle w:val="Heading2"/>
      </w:pPr>
      <w:r>
        <w:t>Review checklist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b w:val="0"/>
        </w:rPr>
        <w:t>Confirm scope and definitions against the final order form.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b w:val="0"/>
        </w:rPr>
        <w:t>Resolve bracketed placeholders before external circulation.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b w:val="0"/>
        </w:rPr>
        <w:t>Align incident, transfer, retention, and audit terms across the agreement suite.</w:t>
      </w:r>
    </w:p>
    <w:p>
      <w:r>
        <w:rPr>
          <w:rFonts w:ascii="Calibri" w:hAnsi="Calibri"/>
          <w:b w:val="0"/>
          <w:color w:val="555555"/>
          <w:sz w:val="18"/>
        </w:rPr>
        <w:t>Matter anchor: Matter Alpha / AL-PA-2606 | preservation population 42 | exception deadline 12 July 2026.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66666"/>
        <w:sz w:val="16"/>
      </w:rPr>
      <w:t>Synthetic working draft |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0B2545"/>
        <w:sz w:val="18"/>
      </w:rPr>
      <w:t>ASTER LEGAL | PRIVACY CONTRACTS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Records of Processing Clause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