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Retention Schedule Exhibit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[Provider legal name]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Retention principle. </w:t>
      </w:r>
      <w:r>
        <w:rPr>
          <w:rFonts w:ascii="Calibri" w:hAnsi="Calibri"/>
          <w:b w:val="0"/>
        </w:rPr>
        <w:t>Retain Customer Personal Data only for the service term, operational needs, and legal obligations.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Active service data. </w:t>
      </w:r>
      <w:r>
        <w:rPr>
          <w:rFonts w:ascii="Calibri" w:hAnsi="Calibri"/>
          <w:b w:val="0"/>
        </w:rPr>
        <w:t>Keep active content for the subscription and agreed export-availability period.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Backups and logs. </w:t>
      </w:r>
      <w:r>
        <w:rPr>
          <w:rFonts w:ascii="Calibri" w:hAnsi="Calibri"/>
          <w:b w:val="0"/>
        </w:rPr>
        <w:t>Expire backups through normal rotation; restrict retained security logs.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[Complete service-specific periods and records-management approval.]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Retention Schedule Exhibit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