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36"/>
        </w:rPr>
        <w:t>Vendor Audit Rights Clause</w:t>
      </w:r>
    </w:p>
    <w:p>
      <w:r>
        <w:rPr>
          <w:rFonts w:ascii="Calibri" w:hAnsi="Calibri"/>
          <w:b w:val="0"/>
          <w:color w:val="555555"/>
          <w:sz w:val="18"/>
        </w:rPr>
        <w:t>Aster Legal | Matter Alpha AL-PA-2606 | Draft dated 30 June 2026 | Synthetic working draft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Document control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v1.0 | Negotiation review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Counterparty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Cinder Bay Processing Ltd.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Status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Draft only - confirmation required</w:t>
            </w:r>
          </w:p>
        </w:tc>
      </w:tr>
    </w:tbl>
    <w:p>
      <w:pPr>
        <w:pStyle w:val="Heading2"/>
      </w:pPr>
      <w:r>
        <w:t>Purpose</w:t>
      </w:r>
    </w:p>
    <w:p>
      <w:r>
        <w:t>Fully synthetic Aster Legal negotiation draft. This document frames privacy and security obligations for review; it is not an executed agreement, advice, or real-party record.</w:t>
      </w:r>
    </w:p>
    <w:p>
      <w:pPr>
        <w:pStyle w:val="Heading2"/>
      </w:pPr>
      <w:r>
        <w:t>Draft provisions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1. Assurance first. </w:t>
      </w:r>
      <w:r>
        <w:rPr>
          <w:rFonts w:ascii="Calibri" w:hAnsi="Calibri"/>
          <w:b w:val="0"/>
        </w:rPr>
        <w:t>Provide current relevant third-party assurance materials and reasonable written compliance responses.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2. On-site audit. </w:t>
      </w:r>
      <w:r>
        <w:rPr>
          <w:rFonts w:ascii="Calibri" w:hAnsi="Calibri"/>
          <w:b w:val="0"/>
        </w:rPr>
        <w:t>Allow targeted audit for a documented material concern where assurance is insufficient, on reasonable notice.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3. Safeguards. </w:t>
      </w:r>
      <w:r>
        <w:rPr>
          <w:rFonts w:ascii="Calibri" w:hAnsi="Calibri"/>
          <w:b w:val="0"/>
        </w:rPr>
        <w:t>Protect other customers and security; use qualified confidential personnel; exclude source code and intrusive testing unless agreed.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4. Negotiation placeholder. </w:t>
      </w:r>
      <w:r>
        <w:rPr>
          <w:rFonts w:ascii="Calibri" w:hAnsi="Calibri"/>
          <w:b w:val="0"/>
        </w:rPr>
        <w:t>[Confirm cost allocation and regulator-triggered notice period.]</w:t>
      </w:r>
    </w:p>
    <w:p>
      <w:pPr>
        <w:pStyle w:val="Heading2"/>
      </w:pPr>
      <w:r>
        <w:t>Review checklist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Confirm scope and definitions against the final order form.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Resolve bracketed placeholders before external circulation.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Align incident, transfer, retention, and audit terms across the agreement suite.</w:t>
      </w:r>
    </w:p>
    <w:p>
      <w:r>
        <w:rPr>
          <w:rFonts w:ascii="Calibri" w:hAnsi="Calibri"/>
          <w:b w:val="0"/>
          <w:color w:val="555555"/>
          <w:sz w:val="18"/>
        </w:rPr>
        <w:t>Matter anchor: Matter Alpha / AL-PA-2606 | preservation population 42 | exception deadline 12 July 2026.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>Synthetic working draft |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0B2545"/>
        <w:sz w:val="18"/>
      </w:rPr>
      <w:t>ASTER LEGAL | PRIVACY CONTRACTS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Audit Rights Clause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