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Controller–Processor Checklist</w:t>
      </w:r>
    </w:p>
    <w:p>
      <w:r>
        <w:rPr>
          <w:i/>
          <w:color w:val="666666"/>
        </w:rPr>
        <w:t>Pre-contract and renewal control review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1. Engagement record</w:t>
      </w:r>
    </w:p>
    <w:p>
      <w:r>
        <w:rPr>
          <w:b/>
        </w:rPr>
        <w:t xml:space="preserve">Business owner: </w:t>
      </w:r>
      <w:r>
        <w:t>[Enter value]</w:t>
      </w:r>
      <w:r>
        <w:rPr>
          <w:i/>
        </w:rPr>
        <w:t xml:space="preserve">  (Accountable decision-maker)</w:t>
      </w:r>
    </w:p>
    <w:p>
      <w:r>
        <w:rPr>
          <w:b/>
        </w:rPr>
        <w:t xml:space="preserve">Processor legal name: </w:t>
      </w:r>
      <w:r>
        <w:t>[Enter value]</w:t>
      </w:r>
      <w:r>
        <w:rPr>
          <w:i/>
        </w:rPr>
        <w:t xml:space="preserve">  (Use placeholder until verified)</w:t>
      </w:r>
    </w:p>
    <w:p>
      <w:r>
        <w:rPr>
          <w:b/>
        </w:rPr>
        <w:t xml:space="preserve">Service / processing purpose: </w:t>
      </w:r>
      <w:r>
        <w:t>[Enter value]</w:t>
      </w:r>
      <w:r>
        <w:rPr>
          <w:i/>
        </w:rPr>
        <w:t xml:space="preserve">  (Describe necessity and scope)</w:t>
      </w:r>
    </w:p>
    <w:p>
      <w:r>
        <w:rPr>
          <w:b/>
        </w:rPr>
        <w:t xml:space="preserve">Target effective date: </w:t>
      </w:r>
      <w:r>
        <w:t>[Enter value]</w:t>
      </w:r>
      <w:r>
        <w:rPr>
          <w:i/>
        </w:rPr>
        <w:t xml:space="preserve">  (YYYY-MM-DD)</w:t>
      </w:r>
    </w:p>
    <w:p>
      <w:pPr>
        <w:pStyle w:val="Heading1"/>
      </w:pPr>
      <w:r>
        <w:t>2. Role and scope validation</w:t>
      </w:r>
    </w:p>
    <w:p>
      <w:r>
        <w:t>☐ Document controller/processor allocation and any joint-controller analysis.</w:t>
      </w:r>
    </w:p>
    <w:p>
      <w:r>
        <w:t>☐ Confirm categories of data subjects, personal data, and sensitive data, if any.</w:t>
      </w:r>
    </w:p>
    <w:p>
      <w:r>
        <w:t>☐ Confirm written instructions, lawful basis, and approved purposes.</w:t>
      </w:r>
    </w:p>
    <w:p>
      <w:r>
        <w:t>☐ Record whether Matter Alpha preservation constraints affect the transfer.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1600"/>
        <w:gridCol w:w="1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Evidence / decision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Instructions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sz w:val="18"/>
              </w:rPr>
              <w:t>[DPA clause or exhibit]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sz w:val="18"/>
              </w:rPr>
              <w:t>[Name]</w:t>
            </w:r>
          </w:p>
        </w:tc>
        <w:tc>
          <w:tcPr>
            <w:tcW w:type="dxa" w:w="1660"/>
          </w:tcPr>
          <w:p>
            <w:pPr>
              <w:spacing w:after="6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sz w:val="18"/>
              </w:rPr>
              <w:t>[Assessment reference]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sz w:val="18"/>
              </w:rPr>
              <w:t>[Name]</w:t>
            </w:r>
          </w:p>
        </w:tc>
        <w:tc>
          <w:tcPr>
            <w:tcW w:type="dxa" w:w="1660"/>
          </w:tcPr>
          <w:p>
            <w:pPr>
              <w:spacing w:after="6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Subprocessors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sz w:val="18"/>
              </w:rPr>
              <w:t>[Approved list / notice]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sz w:val="18"/>
              </w:rPr>
              <w:t>[Name]</w:t>
            </w:r>
          </w:p>
        </w:tc>
        <w:tc>
          <w:tcPr>
            <w:tcW w:type="dxa" w:w="1660"/>
          </w:tcPr>
          <w:p>
            <w:pPr>
              <w:spacing w:after="6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Deletion / return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sz w:val="18"/>
              </w:rPr>
              <w:t>[Method and timing]</w:t>
            </w:r>
          </w:p>
        </w:tc>
        <w:tc>
          <w:tcPr>
            <w:tcW w:type="dxa" w:w="1600"/>
          </w:tcPr>
          <w:p>
            <w:pPr>
              <w:spacing w:after="60"/>
            </w:pPr>
            <w:r>
              <w:rPr>
                <w:sz w:val="18"/>
              </w:rPr>
              <w:t>[Name]</w:t>
            </w:r>
          </w:p>
        </w:tc>
        <w:tc>
          <w:tcPr>
            <w:tcW w:type="dxa" w:w="1660"/>
          </w:tcPr>
          <w:p>
            <w:pPr>
              <w:spacing w:after="60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3. Approval and exceptions</w:t>
      </w:r>
    </w:p>
    <w:p>
      <w:r>
        <w:rPr>
          <w:b/>
        </w:rPr>
        <w:t xml:space="preserve">Residual risk statement: </w:t>
      </w:r>
      <w:r>
        <w:t>[Enter value]</w:t>
      </w:r>
      <w:r>
        <w:rPr>
          <w:i/>
        </w:rPr>
        <w:t xml:space="preserve">  (Tie to documented approval)</w:t>
      </w:r>
    </w:p>
    <w:p>
      <w:r>
        <w:rPr>
          <w:b/>
        </w:rPr>
        <w:t xml:space="preserve">Exception expiry: </w:t>
      </w:r>
      <w:r>
        <w:t>[Enter value]</w:t>
      </w:r>
      <w:r>
        <w:rPr>
          <w:i/>
        </w:rPr>
        <w:t xml:space="preserve">  (Example: 2026-07-12)</w:t>
      </w:r>
    </w:p>
    <w:p>
      <w:r>
        <w:rPr>
          <w:b/>
        </w:rPr>
        <w:t xml:space="preserve">Approver: </w:t>
      </w:r>
      <w:r>
        <w:t>[Enter value]</w:t>
      </w:r>
      <w:r>
        <w:rPr>
          <w:i/>
        </w:rPr>
        <w:t xml:space="preserve">  (Function, not a personal signature)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