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Breach Notice</w:t>
      </w:r>
    </w:p>
    <w:p>
      <w:r>
        <w:rPr>
          <w:i/>
          <w:color w:val="666666"/>
        </w:rPr>
        <w:t>Draft notification decision and notice worksheet</w:t>
      </w:r>
    </w:p>
    <w:p>
      <w:r>
        <w:t>Template status: ☐ Draft  ☐ Reviewed  ☐ Approved     Owner: [Name / function]     Version: [vX.X]</w:t>
      </w:r>
    </w:p>
    <w:p>
      <w:r>
        <w:rPr>
          <w:i/>
        </w:rPr>
        <w:t>Illustrative anchor only: Aster Legal • Matter Alpha • preservation population 42 • exception review 2026-07-12. Replace all bracketed fields before operational use.</w:t>
      </w:r>
    </w:p>
    <w:p>
      <w:pPr>
        <w:pStyle w:val="Heading1"/>
      </w:pPr>
      <w:r>
        <w:t>1. Incident facts (known / unknown)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Entry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sz w:val="18"/>
              </w:rPr>
              <w:t>Incident reference</w:t>
            </w:r>
          </w:p>
        </w:tc>
        <w:tc>
          <w:tcPr>
            <w:tcW w:type="dxa" w:w="6860"/>
          </w:tcPr>
          <w:p>
            <w:pPr>
              <w:spacing w:after="60"/>
            </w:pPr>
            <w:r>
              <w:rPr>
                <w:sz w:val="18"/>
              </w:rPr>
              <w:t>[INC-YYYY-NNN]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sz w:val="18"/>
              </w:rPr>
              <w:t>Discovery date/time</w:t>
            </w:r>
          </w:p>
        </w:tc>
        <w:tc>
          <w:tcPr>
            <w:tcW w:type="dxa" w:w="6860"/>
          </w:tcPr>
          <w:p>
            <w:pPr>
              <w:spacing w:after="60"/>
            </w:pPr>
            <w:r>
              <w:rPr>
                <w:sz w:val="18"/>
              </w:rPr>
              <w:t>[YYYY-MM-DD HH:MM TZ]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sz w:val="18"/>
              </w:rPr>
              <w:t>Systems / service</w:t>
            </w:r>
          </w:p>
        </w:tc>
        <w:tc>
          <w:tcPr>
            <w:tcW w:type="dxa" w:w="6860"/>
          </w:tcPr>
          <w:p>
            <w:pPr>
              <w:spacing w:after="60"/>
            </w:pPr>
            <w:r>
              <w:rPr>
                <w:sz w:val="18"/>
              </w:rPr>
              <w:t>[Describe]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sz w:val="18"/>
              </w:rPr>
              <w:t>Data involved</w:t>
            </w:r>
          </w:p>
        </w:tc>
        <w:tc>
          <w:tcPr>
            <w:tcW w:type="dxa" w:w="6860"/>
          </w:tcPr>
          <w:p>
            <w:pPr>
              <w:spacing w:after="60"/>
            </w:pPr>
            <w:r>
              <w:rPr>
                <w:sz w:val="18"/>
              </w:rPr>
              <w:t>[Categories; avoid copying records]</w:t>
            </w:r>
          </w:p>
        </w:tc>
      </w:tr>
      <w:tr>
        <w:tc>
          <w:tcPr>
            <w:tcW w:type="dxa" w:w="2500"/>
          </w:tcPr>
          <w:p>
            <w:pPr>
              <w:spacing w:after="60"/>
            </w:pPr>
            <w:r>
              <w:rPr>
                <w:sz w:val="18"/>
              </w:rPr>
              <w:t>Containment status</w:t>
            </w:r>
          </w:p>
        </w:tc>
        <w:tc>
          <w:tcPr>
            <w:tcW w:type="dxa" w:w="6860"/>
          </w:tcPr>
          <w:p>
            <w:pPr>
              <w:spacing w:after="60"/>
            </w:pPr>
            <w:r>
              <w:rPr>
                <w:sz w:val="18"/>
              </w:rPr>
              <w:t>☐ Open  ☐ Contained  ☐ Monitoring</w:t>
            </w:r>
          </w:p>
        </w:tc>
      </w:tr>
    </w:tbl>
    <w:p/>
    <w:p>
      <w:pPr>
        <w:pStyle w:val="Heading1"/>
      </w:pPr>
      <w:r>
        <w:t>2. Notification decision</w:t>
      </w:r>
    </w:p>
    <w:p>
      <w:r>
        <w:t>☐ Identify potentially applicable notification authorities and contractual recipients.</w:t>
      </w:r>
    </w:p>
    <w:p>
      <w:r>
        <w:t>☐ Record risk assessment, material uncertainty, and decision owner.</w:t>
      </w:r>
    </w:p>
    <w:p>
      <w:r>
        <w:t>☐ Confirm notice timing, method, and language are reviewed by counsel.</w:t>
      </w:r>
    </w:p>
    <w:p>
      <w:pPr>
        <w:pStyle w:val="Heading1"/>
      </w:pPr>
      <w:r>
        <w:t>3. Notice draft</w:t>
      </w:r>
    </w:p>
    <w:p>
      <w:pPr>
        <w:pStyle w:val="ListBullet"/>
      </w:pPr>
      <w:r>
        <w:t>To: [Authority / affected party]</w:t>
      </w:r>
    </w:p>
    <w:p>
      <w:pPr>
        <w:pStyle w:val="ListBullet"/>
      </w:pPr>
      <w:r>
        <w:t>Subject: Notice of [incident type] — [reference]</w:t>
      </w:r>
    </w:p>
    <w:p>
      <w:pPr>
        <w:pStyle w:val="ListBullet"/>
      </w:pPr>
      <w:r>
        <w:t>What occurred: [plain-language summary]</w:t>
      </w:r>
    </w:p>
    <w:p>
      <w:pPr>
        <w:pStyle w:val="ListBullet"/>
      </w:pPr>
      <w:r>
        <w:t>Potential impact: [assessed impact and uncertainty]</w:t>
      </w:r>
    </w:p>
    <w:p>
      <w:pPr>
        <w:pStyle w:val="ListBullet"/>
      </w:pPr>
      <w:r>
        <w:t>Measures taken: [containment and remediation]</w:t>
      </w:r>
    </w:p>
    <w:p>
      <w:pPr>
        <w:pStyle w:val="ListBullet"/>
      </w:pPr>
      <w:r>
        <w:t>Contact: [privacy office channel]</w:t>
      </w:r>
    </w:p>
    <w:p>
      <w:pPr>
        <w:pStyle w:val="Heading1"/>
      </w:pPr>
      <w:r>
        <w:t>4. Review log</w:t>
      </w:r>
    </w:p>
    <w:p>
      <w:r>
        <w:t>Privacy review: [function / date / approve or revise]     Security review: [function / date / approve or revise]</w:t>
      </w:r>
    </w:p>
    <w:p>
      <w:pPr>
        <w:pStyle w:val="Heading2"/>
      </w:pPr>
      <w:r>
        <w:t>Review conditions and release record</w:t>
      </w:r>
    </w:p>
    <w:p>
      <w:r>
        <w:t>☐ Confirm facts and impacted populations are current as of the release time.</w:t>
      </w:r>
    </w:p>
    <w:p>
      <w:r>
        <w:t>☐ Confirm notice recipients, timing, and delivery method are logged.</w:t>
      </w:r>
    </w:p>
    <w:p>
      <w:r>
        <w:t>☐ Preserve a non-sensitive copy of the approved notice and decision rationale.</w:t>
      </w:r>
    </w:p>
    <w:p>
      <w:r>
        <w:rPr>
          <w:b/>
        </w:rPr>
        <w:t xml:space="preserve">Release authority: </w:t>
      </w:r>
      <w:r>
        <w:t>[Enter value]</w:t>
      </w:r>
      <w:r>
        <w:rPr>
          <w:i/>
        </w:rPr>
        <w:t xml:space="preserve">  ([Function / date / decision reference])</w:t>
      </w:r>
    </w:p>
    <w:p>
      <w:r>
        <w:rPr>
          <w:b/>
        </w:rPr>
        <w:t xml:space="preserve">Follow-up owner and next checkpoint: </w:t>
      </w:r>
      <w:r>
        <w:t>[Enter value]</w:t>
      </w:r>
      <w:r>
        <w:rPr>
          <w:i/>
        </w:rPr>
        <w:t xml:space="preserve">  ([Function / YYYY-MM-DD])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Synthetic template — complete and validate before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ASTER LEGAL  |  PRIVACY OPERATIONS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