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Processing Addendum</w:t>
      </w:r>
    </w:p>
    <w:p>
      <w:r>
        <w:rPr>
          <w:i/>
          <w:color w:val="666666"/>
        </w:rPr>
        <w:t>Modular contract template — complete with negotiated schedules</w:t>
      </w:r>
    </w:p>
    <w:p>
      <w:r>
        <w:t>Template status: ☐ Draft  ☐ Reviewed  ☐ Approved     Owner: [Name / function]     Version: [vX.X]</w:t>
      </w:r>
    </w:p>
    <w:p>
      <w:r>
        <w:rPr>
          <w:i/>
        </w:rPr>
        <w:t>Illustrative anchor only: Aster Legal • Matter Alpha • preservation population 42 • exception review 2026-07-12. Replace all bracketed fields before operational use.</w:t>
      </w:r>
    </w:p>
    <w:p>
      <w:pPr>
        <w:pStyle w:val="Heading1"/>
      </w:pPr>
      <w:r>
        <w:t>1. Parties and precedence</w:t>
      </w:r>
    </w:p>
    <w:p>
      <w:r>
        <w:t>This Data Processing Addendum (“DPA”) is entered into by [Controller] and [Processor] in connection with [Master Agreement]. If the documents conflict, [state precedence].</w:t>
      </w:r>
    </w:p>
    <w:p>
      <w:pPr>
        <w:pStyle w:val="Heading1"/>
      </w:pPr>
      <w:r>
        <w:t>2. Processing instructions</w:t>
      </w:r>
    </w:p>
    <w:p>
      <w:r>
        <w:t>Processor shall process personal data only on documented instructions from Controller, including the processing described in Schedule 1, unless required by applicable law. [Add governing-law and notice language after review.]</w:t>
      </w:r>
    </w:p>
    <w:p>
      <w:pPr>
        <w:pStyle w:val="Heading1"/>
      </w:pPr>
      <w:r>
        <w:t>3. Core commitments</w:t>
      </w:r>
    </w:p>
    <w:p>
      <w:pPr>
        <w:pStyle w:val="ListBullet"/>
      </w:pPr>
      <w:r>
        <w:t>Confidentiality and access controls: [complete].</w:t>
      </w:r>
    </w:p>
    <w:p>
      <w:pPr>
        <w:pStyle w:val="ListBullet"/>
      </w:pPr>
      <w:r>
        <w:t>Security measures: [reference Schedule 2].</w:t>
      </w:r>
    </w:p>
    <w:p>
      <w:pPr>
        <w:pStyle w:val="ListBullet"/>
      </w:pPr>
      <w:r>
        <w:t>Subprocessor engagement and notice: [complete].</w:t>
      </w:r>
    </w:p>
    <w:p>
      <w:pPr>
        <w:pStyle w:val="ListBullet"/>
      </w:pPr>
      <w:r>
        <w:t>Assistance with requests, incidents, impact assessments, and audits: [complete].</w:t>
      </w:r>
    </w:p>
    <w:p>
      <w:pPr>
        <w:pStyle w:val="ListBullet"/>
      </w:pPr>
      <w:r>
        <w:t>Return or deletion at end of services: [complete].</w:t>
      </w:r>
    </w:p>
    <w:p>
      <w:pPr>
        <w:pStyle w:val="Heading1"/>
      </w:pPr>
      <w:r>
        <w:t>Schedule 1 — Processing particulars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Particular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Complete field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sz w:val="18"/>
              </w:rPr>
              <w:t>Subject matter / duration</w:t>
            </w:r>
          </w:p>
        </w:tc>
        <w:tc>
          <w:tcPr>
            <w:tcW w:type="dxa" w:w="6360"/>
          </w:tcPr>
          <w:p>
            <w:pPr>
              <w:spacing w:after="60"/>
            </w:pPr>
            <w:r>
              <w:rPr>
                <w:sz w:val="18"/>
              </w:rPr>
              <w:t>[Describe]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sz w:val="18"/>
              </w:rPr>
              <w:t>Nature / purpose</w:t>
            </w:r>
          </w:p>
        </w:tc>
        <w:tc>
          <w:tcPr>
            <w:tcW w:type="dxa" w:w="6360"/>
          </w:tcPr>
          <w:p>
            <w:pPr>
              <w:spacing w:after="60"/>
            </w:pPr>
            <w:r>
              <w:rPr>
                <w:sz w:val="18"/>
              </w:rPr>
              <w:t>[Describe]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sz w:val="18"/>
              </w:rPr>
              <w:t>Data subjects</w:t>
            </w:r>
          </w:p>
        </w:tc>
        <w:tc>
          <w:tcPr>
            <w:tcW w:type="dxa" w:w="6360"/>
          </w:tcPr>
          <w:p>
            <w:pPr>
              <w:spacing w:after="60"/>
            </w:pPr>
            <w:r>
              <w:rPr>
                <w:sz w:val="18"/>
              </w:rPr>
              <w:t>[Categories]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sz w:val="18"/>
              </w:rPr>
              <w:t>Personal data</w:t>
            </w:r>
          </w:p>
        </w:tc>
        <w:tc>
          <w:tcPr>
            <w:tcW w:type="dxa" w:w="6360"/>
          </w:tcPr>
          <w:p>
            <w:pPr>
              <w:spacing w:after="60"/>
            </w:pPr>
            <w:r>
              <w:rPr>
                <w:sz w:val="18"/>
              </w:rPr>
              <w:t>[Categories]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sz w:val="18"/>
              </w:rPr>
              <w:t>Retention</w:t>
            </w:r>
          </w:p>
        </w:tc>
        <w:tc>
          <w:tcPr>
            <w:tcW w:type="dxa" w:w="6360"/>
          </w:tcPr>
          <w:p>
            <w:pPr>
              <w:spacing w:after="60"/>
            </w:pPr>
            <w:r>
              <w:rPr>
                <w:sz w:val="18"/>
              </w:rPr>
              <w:t>[Term / legal hold exception]</w:t>
            </w:r>
          </w:p>
        </w:tc>
      </w:tr>
    </w:tbl>
    <w:p/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Synthetic template — complete and validate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ASTER LEGAL  |  PRIVACY OPERATIONS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