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International Transfer Assessment</w:t>
      </w:r>
    </w:p>
    <w:p>
      <w:r>
        <w:rPr>
          <w:i/>
          <w:color w:val="666666"/>
        </w:rPr>
        <w:t>Transfer impact assessment and supplementary-measures record</w:t>
      </w:r>
    </w:p>
    <w:p>
      <w:r>
        <w:t>Template status: ☐ Draft  ☐ Reviewed  ☐ Approved     Owner: [Name / function]     Version: [vX.X]</w:t>
      </w:r>
    </w:p>
    <w:p>
      <w:r>
        <w:rPr>
          <w:i/>
        </w:rPr>
        <w:t>Illustrative anchor only: Aster Legal • Matter Alpha • preservation population 42 • exception review 2026-07-12. Replace all bracketed fields before operational use.</w:t>
      </w:r>
    </w:p>
    <w:p>
      <w:pPr>
        <w:pStyle w:val="Heading1"/>
      </w:pPr>
      <w:r>
        <w:t>1. Transfer description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sz w:val="18"/>
              </w:rPr>
              <w:t>Exporter / importer</w:t>
            </w:r>
          </w:p>
        </w:tc>
        <w:tc>
          <w:tcPr>
            <w:tcW w:type="dxa" w:w="6360"/>
          </w:tcPr>
          <w:p>
            <w:pPr>
              <w:spacing w:after="60"/>
            </w:pPr>
            <w:r>
              <w:rPr>
                <w:sz w:val="18"/>
              </w:rPr>
              <w:t>[Legal entities]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sz w:val="18"/>
              </w:rPr>
              <w:t>Origin and destination</w:t>
            </w:r>
          </w:p>
        </w:tc>
        <w:tc>
          <w:tcPr>
            <w:tcW w:type="dxa" w:w="6360"/>
          </w:tcPr>
          <w:p>
            <w:pPr>
              <w:spacing w:after="60"/>
            </w:pPr>
            <w:r>
              <w:rPr>
                <w:sz w:val="18"/>
              </w:rPr>
              <w:t>[Jurisdictions]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sz w:val="18"/>
              </w:rPr>
              <w:t>Transfer mechanism</w:t>
            </w:r>
          </w:p>
        </w:tc>
        <w:tc>
          <w:tcPr>
            <w:tcW w:type="dxa" w:w="6360"/>
          </w:tcPr>
          <w:p>
            <w:pPr>
              <w:spacing w:after="60"/>
            </w:pPr>
            <w:r>
              <w:rPr>
                <w:sz w:val="18"/>
              </w:rPr>
              <w:t>[Mechanism / clause]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sz w:val="18"/>
              </w:rPr>
              <w:t>Data and purpose</w:t>
            </w:r>
          </w:p>
        </w:tc>
        <w:tc>
          <w:tcPr>
            <w:tcW w:type="dxa" w:w="6360"/>
          </w:tcPr>
          <w:p>
            <w:pPr>
              <w:spacing w:after="60"/>
            </w:pPr>
            <w:r>
              <w:rPr>
                <w:sz w:val="18"/>
              </w:rPr>
              <w:t>[Categories / purpose]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sz w:val="18"/>
              </w:rPr>
              <w:t>Frequency / duration</w:t>
            </w:r>
          </w:p>
        </w:tc>
        <w:tc>
          <w:tcPr>
            <w:tcW w:type="dxa" w:w="6360"/>
          </w:tcPr>
          <w:p>
            <w:pPr>
              <w:spacing w:after="60"/>
            </w:pPr>
            <w:r>
              <w:rPr>
                <w:sz w:val="18"/>
              </w:rPr>
              <w:t>[Describe]</w:t>
            </w:r>
          </w:p>
        </w:tc>
      </w:tr>
    </w:tbl>
    <w:p/>
    <w:p>
      <w:pPr>
        <w:pStyle w:val="Heading1"/>
      </w:pPr>
      <w:r>
        <w:t>2. Context assessment</w:t>
      </w:r>
    </w:p>
    <w:p>
      <w:r>
        <w:t>☐ Assess importer access capabilities, onward transfers, and transparency commitments.</w:t>
      </w:r>
    </w:p>
    <w:p>
      <w:r>
        <w:t>☐ Document applicable-law analysis using approved current sources.</w:t>
      </w:r>
    </w:p>
    <w:p>
      <w:r>
        <w:t>☐ Identify practical likelihood and impact of access requests without importing case facts.</w:t>
      </w:r>
    </w:p>
    <w:p>
      <w:pPr>
        <w:pStyle w:val="Heading1"/>
      </w:pPr>
      <w:r>
        <w:t>3. Supplementary measures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28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Implementation evidence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sz w:val="18"/>
              </w:rPr>
              <w:t>Residual assessment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sz w:val="18"/>
              </w:rPr>
              <w:t>Technical</w:t>
            </w:r>
          </w:p>
        </w:tc>
        <w:tc>
          <w:tcPr>
            <w:tcW w:type="dxa" w:w="4700"/>
          </w:tcPr>
          <w:p>
            <w:pPr>
              <w:spacing w:after="60"/>
            </w:pPr>
            <w:r>
              <w:rPr>
                <w:sz w:val="18"/>
              </w:rPr>
              <w:t>[Encryption / key control]</w:t>
            </w:r>
          </w:p>
        </w:tc>
        <w:tc>
          <w:tcPr>
            <w:tcW w:type="dxa" w:w="2860"/>
          </w:tcPr>
          <w:p>
            <w:pPr>
              <w:spacing w:after="60"/>
            </w:pPr>
            <w:r>
              <w:rPr>
                <w:sz w:val="18"/>
              </w:rPr>
              <w:t>[Low / medium / high]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sz w:val="18"/>
              </w:rPr>
              <w:t>Contractual</w:t>
            </w:r>
          </w:p>
        </w:tc>
        <w:tc>
          <w:tcPr>
            <w:tcW w:type="dxa" w:w="4700"/>
          </w:tcPr>
          <w:p>
            <w:pPr>
              <w:spacing w:after="60"/>
            </w:pPr>
            <w:r>
              <w:rPr>
                <w:sz w:val="18"/>
              </w:rPr>
              <w:t>[Challenge / notice clauses]</w:t>
            </w:r>
          </w:p>
        </w:tc>
        <w:tc>
          <w:tcPr>
            <w:tcW w:type="dxa" w:w="2860"/>
          </w:tcPr>
          <w:p>
            <w:pPr>
              <w:spacing w:after="60"/>
            </w:pPr>
            <w:r>
              <w:rPr>
                <w:sz w:val="18"/>
              </w:rPr>
              <w:t>[Low / medium / high]</w:t>
            </w:r>
          </w:p>
        </w:tc>
      </w:tr>
      <w:tr>
        <w:tc>
          <w:tcPr>
            <w:tcW w:type="dxa" w:w="1800"/>
          </w:tcPr>
          <w:p>
            <w:pPr>
              <w:spacing w:after="60"/>
            </w:pPr>
            <w:r>
              <w:rPr>
                <w:sz w:val="18"/>
              </w:rPr>
              <w:t>Organizational</w:t>
            </w:r>
          </w:p>
        </w:tc>
        <w:tc>
          <w:tcPr>
            <w:tcW w:type="dxa" w:w="4700"/>
          </w:tcPr>
          <w:p>
            <w:pPr>
              <w:spacing w:after="60"/>
            </w:pPr>
            <w:r>
              <w:rPr>
                <w:sz w:val="18"/>
              </w:rPr>
              <w:t>[Access governance]</w:t>
            </w:r>
          </w:p>
        </w:tc>
        <w:tc>
          <w:tcPr>
            <w:tcW w:type="dxa" w:w="2860"/>
          </w:tcPr>
          <w:p>
            <w:pPr>
              <w:spacing w:after="60"/>
            </w:pPr>
            <w:r>
              <w:rPr>
                <w:sz w:val="18"/>
              </w:rPr>
              <w:t>[Low / medium / high]</w:t>
            </w:r>
          </w:p>
        </w:tc>
      </w:tr>
    </w:tbl>
    <w:p/>
    <w:p>
      <w:pPr>
        <w:pStyle w:val="Heading1"/>
      </w:pPr>
      <w:r>
        <w:t>4. Decision</w:t>
      </w:r>
    </w:p>
    <w:p>
      <w:r>
        <w:rPr>
          <w:b/>
        </w:rPr>
        <w:t xml:space="preserve">Decision and conditions: </w:t>
      </w:r>
      <w:r>
        <w:t>[Enter value]</w:t>
      </w:r>
      <w:r>
        <w:rPr>
          <w:i/>
        </w:rPr>
        <w:t xml:space="preserve">  (Approved / conditional / not approved; include next review date (example: 2026-07-12))</w:t>
      </w:r>
    </w:p>
    <w:p>
      <w:pPr>
        <w:pStyle w:val="Heading2"/>
      </w:pPr>
      <w:r>
        <w:t>Decision record</w:t>
      </w:r>
    </w:p>
    <w:p>
      <w:r>
        <w:t>☐ Confirm the transfer description and documented mechanism are complete.</w:t>
      </w:r>
    </w:p>
    <w:p>
      <w:r>
        <w:t>☐ Confirm supplementary measures are mapped to the identified residual risk.</w:t>
      </w:r>
    </w:p>
    <w:p>
      <w:r>
        <w:t>☐ Record required approvals, follow-up evidence, and reassessment triggers.</w:t>
      </w:r>
    </w:p>
    <w:p>
      <w:r>
        <w:rPr>
          <w:b/>
        </w:rPr>
        <w:t xml:space="preserve">Approval function: </w:t>
      </w:r>
      <w:r>
        <w:t>[Enter value]</w:t>
      </w:r>
      <w:r>
        <w:rPr>
          <w:i/>
        </w:rPr>
        <w:t xml:space="preserve">  ([Function / date])</w:t>
      </w:r>
    </w:p>
    <w:p>
      <w:r>
        <w:rPr>
          <w:b/>
        </w:rPr>
        <w:t xml:space="preserve">Reassessment trigger: </w:t>
      </w:r>
      <w:r>
        <w:t>[Enter value]</w:t>
      </w:r>
      <w:r>
        <w:rPr>
          <w:i/>
        </w:rPr>
        <w:t xml:space="preserve">  ([Change in service, law, or access profile])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Synthetic template — complete and validate before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ASTER LEGAL  |  PRIVACY OPERATIONS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