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Records of Processing Schedule</w:t>
      </w:r>
    </w:p>
    <w:p>
      <w:r>
        <w:rPr>
          <w:i/>
          <w:color w:val="666666"/>
        </w:rPr>
        <w:t>Article-style processing inventory schedule</w:t>
      </w:r>
    </w:p>
    <w:p>
      <w:r>
        <w:t>Template status: ☐ Draft  ☐ Reviewed  ☐ Approved     Owner: [Name / function]     Version: [vX.X]</w:t>
      </w:r>
    </w:p>
    <w:p>
      <w:r>
        <w:rPr>
          <w:i/>
        </w:rPr>
        <w:t>Illustrative anchor only: Aster Legal • Matter Alpha • preservation population 42 • exception review 2026-07-12. Replace all bracketed fields before operational use.</w:t>
      </w:r>
    </w:p>
    <w:p>
      <w:pPr>
        <w:pStyle w:val="Heading1"/>
      </w:pPr>
      <w:r>
        <w:t>Processing activity entry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Complete field</w:t>
            </w:r>
          </w:p>
        </w:tc>
      </w:tr>
      <w:tr>
        <w:tc>
          <w:tcPr>
            <w:tcW w:type="dxa" w:w="3200"/>
          </w:tcPr>
          <w:p>
            <w:pPr>
              <w:spacing w:after="60"/>
            </w:pPr>
            <w:r>
              <w:rPr>
                <w:sz w:val="18"/>
              </w:rPr>
              <w:t>Activity name</w:t>
            </w:r>
          </w:p>
        </w:tc>
        <w:tc>
          <w:tcPr>
            <w:tcW w:type="dxa" w:w="6160"/>
          </w:tcPr>
          <w:p>
            <w:pPr>
              <w:spacing w:after="60"/>
            </w:pPr>
            <w:r>
              <w:rPr>
                <w:sz w:val="18"/>
              </w:rPr>
              <w:t>[Short name]</w:t>
            </w:r>
          </w:p>
        </w:tc>
      </w:tr>
      <w:tr>
        <w:tc>
          <w:tcPr>
            <w:tcW w:type="dxa" w:w="3200"/>
          </w:tcPr>
          <w:p>
            <w:pPr>
              <w:spacing w:after="60"/>
            </w:pPr>
            <w:r>
              <w:rPr>
                <w:sz w:val="18"/>
              </w:rPr>
              <w:t>Controller contact</w:t>
            </w:r>
          </w:p>
        </w:tc>
        <w:tc>
          <w:tcPr>
            <w:tcW w:type="dxa" w:w="6160"/>
          </w:tcPr>
          <w:p>
            <w:pPr>
              <w:spacing w:after="60"/>
            </w:pPr>
            <w:r>
              <w:rPr>
                <w:sz w:val="18"/>
              </w:rPr>
              <w:t>[Role mailbox]</w:t>
            </w:r>
          </w:p>
        </w:tc>
      </w:tr>
      <w:tr>
        <w:tc>
          <w:tcPr>
            <w:tcW w:type="dxa" w:w="3200"/>
          </w:tcPr>
          <w:p>
            <w:pPr>
              <w:spacing w:after="60"/>
            </w:pPr>
            <w:r>
              <w:rPr>
                <w:sz w:val="18"/>
              </w:rPr>
              <w:t>Purpose and lawful basis</w:t>
            </w:r>
          </w:p>
        </w:tc>
        <w:tc>
          <w:tcPr>
            <w:tcW w:type="dxa" w:w="6160"/>
          </w:tcPr>
          <w:p>
            <w:pPr>
              <w:spacing w:after="60"/>
            </w:pPr>
            <w:r>
              <w:rPr>
                <w:sz w:val="18"/>
              </w:rPr>
              <w:t>[Describe]</w:t>
            </w:r>
          </w:p>
        </w:tc>
      </w:tr>
      <w:tr>
        <w:tc>
          <w:tcPr>
            <w:tcW w:type="dxa" w:w="3200"/>
          </w:tcPr>
          <w:p>
            <w:pPr>
              <w:spacing w:after="60"/>
            </w:pPr>
            <w:r>
              <w:rPr>
                <w:sz w:val="18"/>
              </w:rPr>
              <w:t>Data subjects / categories</w:t>
            </w:r>
          </w:p>
        </w:tc>
        <w:tc>
          <w:tcPr>
            <w:tcW w:type="dxa" w:w="6160"/>
          </w:tcPr>
          <w:p>
            <w:pPr>
              <w:spacing w:after="60"/>
            </w:pPr>
            <w:r>
              <w:rPr>
                <w:sz w:val="18"/>
              </w:rPr>
              <w:t>[Describe]</w:t>
            </w:r>
          </w:p>
        </w:tc>
      </w:tr>
      <w:tr>
        <w:tc>
          <w:tcPr>
            <w:tcW w:type="dxa" w:w="3200"/>
          </w:tcPr>
          <w:p>
            <w:pPr>
              <w:spacing w:after="60"/>
            </w:pPr>
            <w:r>
              <w:rPr>
                <w:sz w:val="18"/>
              </w:rPr>
              <w:t>Recipients / transfers</w:t>
            </w:r>
          </w:p>
        </w:tc>
        <w:tc>
          <w:tcPr>
            <w:tcW w:type="dxa" w:w="6160"/>
          </w:tcPr>
          <w:p>
            <w:pPr>
              <w:spacing w:after="60"/>
            </w:pPr>
            <w:r>
              <w:rPr>
                <w:sz w:val="18"/>
              </w:rPr>
              <w:t>[Describe]</w:t>
            </w:r>
          </w:p>
        </w:tc>
      </w:tr>
      <w:tr>
        <w:tc>
          <w:tcPr>
            <w:tcW w:type="dxa" w:w="3200"/>
          </w:tcPr>
          <w:p>
            <w:pPr>
              <w:spacing w:after="60"/>
            </w:pPr>
            <w:r>
              <w:rPr>
                <w:sz w:val="18"/>
              </w:rPr>
              <w:t>Retention and deletion trigger</w:t>
            </w:r>
          </w:p>
        </w:tc>
        <w:tc>
          <w:tcPr>
            <w:tcW w:type="dxa" w:w="6160"/>
          </w:tcPr>
          <w:p>
            <w:pPr>
              <w:spacing w:after="60"/>
            </w:pPr>
            <w:r>
              <w:rPr>
                <w:sz w:val="18"/>
              </w:rPr>
              <w:t>[Describe]</w:t>
            </w:r>
          </w:p>
        </w:tc>
      </w:tr>
      <w:tr>
        <w:tc>
          <w:tcPr>
            <w:tcW w:type="dxa" w:w="3200"/>
          </w:tcPr>
          <w:p>
            <w:pPr>
              <w:spacing w:after="60"/>
            </w:pPr>
            <w:r>
              <w:rPr>
                <w:sz w:val="18"/>
              </w:rPr>
              <w:t>Security measures</w:t>
            </w:r>
          </w:p>
        </w:tc>
        <w:tc>
          <w:tcPr>
            <w:tcW w:type="dxa" w:w="6160"/>
          </w:tcPr>
          <w:p>
            <w:pPr>
              <w:spacing w:after="60"/>
            </w:pPr>
            <w:r>
              <w:rPr>
                <w:sz w:val="18"/>
              </w:rPr>
              <w:t>[Reference]</w:t>
            </w:r>
          </w:p>
        </w:tc>
      </w:tr>
    </w:tbl>
    <w:p/>
    <w:p>
      <w:pPr>
        <w:pStyle w:val="Heading1"/>
      </w:pPr>
      <w:r>
        <w:t>Schedule rows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200"/>
        <w:gridCol w:w="2200"/>
        <w:gridCol w:w="22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Owner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Review cadence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Evidence reference</w:t>
            </w:r>
          </w:p>
        </w:tc>
      </w:tr>
      <w:tr>
        <w:tc>
          <w:tcPr>
            <w:tcW w:type="dxa" w:w="2700"/>
          </w:tcPr>
          <w:p>
            <w:pPr>
              <w:spacing w:after="60"/>
            </w:pPr>
            <w:r>
              <w:rPr>
                <w:sz w:val="18"/>
              </w:rPr>
              <w:t>[Activity]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sz w:val="18"/>
              </w:rPr>
              <w:t>[Function]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sz w:val="18"/>
              </w:rPr>
              <w:t>[Quarterly / annual]</w:t>
            </w:r>
          </w:p>
        </w:tc>
        <w:tc>
          <w:tcPr>
            <w:tcW w:type="dxa" w:w="2260"/>
          </w:tcPr>
          <w:p>
            <w:pPr>
              <w:spacing w:after="60"/>
            </w:pPr>
            <w:r>
              <w:rPr>
                <w:sz w:val="18"/>
              </w:rPr>
              <w:t>[Record ID]</w:t>
            </w:r>
          </w:p>
        </w:tc>
      </w:tr>
      <w:tr>
        <w:tc>
          <w:tcPr>
            <w:tcW w:type="dxa" w:w="2700"/>
          </w:tcPr>
          <w:p>
            <w:pPr>
              <w:spacing w:after="60"/>
            </w:pPr>
            <w:r>
              <w:rPr>
                <w:sz w:val="18"/>
              </w:rPr>
              <w:t>[Activity]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sz w:val="18"/>
              </w:rPr>
              <w:t>[Function]</w:t>
            </w:r>
          </w:p>
        </w:tc>
        <w:tc>
          <w:tcPr>
            <w:tcW w:type="dxa" w:w="2200"/>
          </w:tcPr>
          <w:p>
            <w:pPr>
              <w:spacing w:after="60"/>
            </w:pPr>
            <w:r>
              <w:rPr>
                <w:sz w:val="18"/>
              </w:rPr>
              <w:t>[Quarterly / annual]</w:t>
            </w:r>
          </w:p>
        </w:tc>
        <w:tc>
          <w:tcPr>
            <w:tcW w:type="dxa" w:w="2260"/>
          </w:tcPr>
          <w:p>
            <w:pPr>
              <w:spacing w:after="60"/>
            </w:pPr>
            <w:r>
              <w:rPr>
                <w:sz w:val="18"/>
              </w:rPr>
              <w:t>[Record ID]</w:t>
            </w:r>
          </w:p>
        </w:tc>
      </w:tr>
    </w:tbl>
    <w:p/>
    <w:p>
      <w:r>
        <w:t>Guidance: enter one activity per row in the approved system of record; this template is a drafting aid, not the system of record.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Synthetic template — complete and validate before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ASTER LEGAL  |  PRIVACY OPERATIONS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