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Subprocessor Notice</w:t>
      </w:r>
    </w:p>
    <w:p>
      <w:r>
        <w:rPr>
          <w:i/>
          <w:color w:val="666666"/>
        </w:rPr>
        <w:t>Customer-facing advance notice and objection workflow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Notice details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Complete field</w:t>
            </w:r>
          </w:p>
        </w:tc>
      </w:tr>
      <w:tr>
        <w:tc>
          <w:tcPr>
            <w:tcW w:type="dxa" w:w="3100"/>
          </w:tcPr>
          <w:p>
            <w:pPr>
              <w:spacing w:after="60"/>
            </w:pPr>
            <w:r>
              <w:rPr>
                <w:sz w:val="18"/>
              </w:rPr>
              <w:t>Customer / contract</w:t>
            </w:r>
          </w:p>
        </w:tc>
        <w:tc>
          <w:tcPr>
            <w:tcW w:type="dxa" w:w="6260"/>
          </w:tcPr>
          <w:p>
            <w:pPr>
              <w:spacing w:after="60"/>
            </w:pPr>
            <w:r>
              <w:rPr>
                <w:sz w:val="18"/>
              </w:rPr>
              <w:t>[Identifier]</w:t>
            </w:r>
          </w:p>
        </w:tc>
      </w:tr>
      <w:tr>
        <w:tc>
          <w:tcPr>
            <w:tcW w:type="dxa" w:w="3100"/>
          </w:tcPr>
          <w:p>
            <w:pPr>
              <w:spacing w:after="60"/>
            </w:pPr>
            <w:r>
              <w:rPr>
                <w:sz w:val="18"/>
              </w:rPr>
              <w:t>Proposed subprocessor</w:t>
            </w:r>
          </w:p>
        </w:tc>
        <w:tc>
          <w:tcPr>
            <w:tcW w:type="dxa" w:w="6260"/>
          </w:tcPr>
          <w:p>
            <w:pPr>
              <w:spacing w:after="60"/>
            </w:pPr>
            <w:r>
              <w:rPr>
                <w:sz w:val="18"/>
              </w:rPr>
              <w:t>[Legal name]</w:t>
            </w:r>
          </w:p>
        </w:tc>
      </w:tr>
      <w:tr>
        <w:tc>
          <w:tcPr>
            <w:tcW w:type="dxa" w:w="3100"/>
          </w:tcPr>
          <w:p>
            <w:pPr>
              <w:spacing w:after="60"/>
            </w:pPr>
            <w:r>
              <w:rPr>
                <w:sz w:val="18"/>
              </w:rPr>
              <w:t>Service and processing purpose</w:t>
            </w:r>
          </w:p>
        </w:tc>
        <w:tc>
          <w:tcPr>
            <w:tcW w:type="dxa" w:w="6260"/>
          </w:tcPr>
          <w:p>
            <w:pPr>
              <w:spacing w:after="60"/>
            </w:pPr>
            <w:r>
              <w:rPr>
                <w:sz w:val="18"/>
              </w:rPr>
              <w:t>[Describe]</w:t>
            </w:r>
          </w:p>
        </w:tc>
      </w:tr>
      <w:tr>
        <w:tc>
          <w:tcPr>
            <w:tcW w:type="dxa" w:w="3100"/>
          </w:tcPr>
          <w:p>
            <w:pPr>
              <w:spacing w:after="60"/>
            </w:pPr>
            <w:r>
              <w:rPr>
                <w:sz w:val="18"/>
              </w:rPr>
              <w:t>Location(s)</w:t>
            </w:r>
          </w:p>
        </w:tc>
        <w:tc>
          <w:tcPr>
            <w:tcW w:type="dxa" w:w="6260"/>
          </w:tcPr>
          <w:p>
            <w:pPr>
              <w:spacing w:after="60"/>
            </w:pPr>
            <w:r>
              <w:rPr>
                <w:sz w:val="18"/>
              </w:rPr>
              <w:t>[Country / region]</w:t>
            </w:r>
          </w:p>
        </w:tc>
      </w:tr>
      <w:tr>
        <w:tc>
          <w:tcPr>
            <w:tcW w:type="dxa" w:w="3100"/>
          </w:tcPr>
          <w:p>
            <w:pPr>
              <w:spacing w:after="60"/>
            </w:pPr>
            <w:r>
              <w:rPr>
                <w:sz w:val="18"/>
              </w:rPr>
              <w:t>Effective date</w:t>
            </w:r>
          </w:p>
        </w:tc>
        <w:tc>
          <w:tcPr>
            <w:tcW w:type="dxa" w:w="6260"/>
          </w:tcPr>
          <w:p>
            <w:pPr>
              <w:spacing w:after="60"/>
            </w:pPr>
            <w:r>
              <w:rPr>
                <w:sz w:val="18"/>
              </w:rPr>
              <w:t>[YYYY-MM-DD]</w:t>
            </w:r>
          </w:p>
        </w:tc>
      </w:tr>
      <w:tr>
        <w:tc>
          <w:tcPr>
            <w:tcW w:type="dxa" w:w="3100"/>
          </w:tcPr>
          <w:p>
            <w:pPr>
              <w:spacing w:after="60"/>
            </w:pPr>
            <w:r>
              <w:rPr>
                <w:sz w:val="18"/>
              </w:rPr>
              <w:t>Objection deadline</w:t>
            </w:r>
          </w:p>
        </w:tc>
        <w:tc>
          <w:tcPr>
            <w:tcW w:type="dxa" w:w="6260"/>
          </w:tcPr>
          <w:p>
            <w:pPr>
              <w:spacing w:after="60"/>
            </w:pPr>
            <w:r>
              <w:rPr>
                <w:sz w:val="18"/>
              </w:rPr>
              <w:t>[YYYY-MM-DD]</w:t>
            </w:r>
          </w:p>
        </w:tc>
      </w:tr>
    </w:tbl>
    <w:p/>
    <w:p>
      <w:pPr>
        <w:pStyle w:val="Heading1"/>
      </w:pPr>
      <w:r>
        <w:t>Notice text</w:t>
      </w:r>
    </w:p>
    <w:p>
      <w:r>
        <w:t>We intend to engage the subprocessor above to support the stated service. You may submit a documented objection through [channel] by [deadline]. We will evaluate a reasonable, documented objection under the agreement.</w:t>
      </w:r>
    </w:p>
    <w:p>
      <w:pPr>
        <w:pStyle w:val="Heading1"/>
      </w:pPr>
      <w:r>
        <w:t>Internal workflow</w:t>
      </w:r>
    </w:p>
    <w:p>
      <w:r>
        <w:t>☐ Verify approved security and transfer review before release.</w:t>
      </w:r>
    </w:p>
    <w:p>
      <w:r>
        <w:t>☐ Send notice only to the contract-designated recipient.</w:t>
      </w:r>
    </w:p>
    <w:p>
      <w:r>
        <w:t>☐ Log objections, outcome, and any alternative arrangement.</w:t>
      </w:r>
    </w:p>
    <w:p>
      <w:r>
        <w:t>☐ Retain notice record under [retention schedule].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