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Privacy Questionnaire</w:t>
      </w:r>
    </w:p>
    <w:p>
      <w:r>
        <w:rPr>
          <w:i/>
          <w:color w:val="666666"/>
        </w:rPr>
        <w:t>Supplier due-diligence intake form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Instructions</w:t>
      </w:r>
    </w:p>
    <w:p>
      <w:r>
        <w:t>Complete each response with a concise explanation and evidence reference. Do not provide production personal data, secrets, or privileged material in this form.</w:t>
      </w:r>
    </w:p>
    <w:p>
      <w:pPr>
        <w:pStyle w:val="Heading1"/>
      </w:pPr>
      <w:r>
        <w:t>Vendor 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sz w:val="18"/>
              </w:rPr>
              <w:t>Legal entity and service</w:t>
            </w:r>
          </w:p>
        </w:tc>
        <w:tc>
          <w:tcPr>
            <w:tcW w:type="dxa" w:w="5760"/>
          </w:tcPr>
          <w:p>
            <w:pPr>
              <w:spacing w:after="60"/>
            </w:pPr>
            <w:r>
              <w:rPr>
                <w:sz w:val="18"/>
              </w:rPr>
              <w:t>[Complete]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5760"/>
          </w:tcPr>
          <w:p>
            <w:pPr>
              <w:spacing w:after="60"/>
            </w:pPr>
            <w:r>
              <w:rPr>
                <w:sz w:val="18"/>
              </w:rPr>
              <w:t>[Function / mailbox]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sz w:val="18"/>
              </w:rPr>
              <w:t>Processing role</w:t>
            </w:r>
          </w:p>
        </w:tc>
        <w:tc>
          <w:tcPr>
            <w:tcW w:type="dxa" w:w="5760"/>
          </w:tcPr>
          <w:p>
            <w:pPr>
              <w:spacing w:after="60"/>
            </w:pPr>
            <w:r>
              <w:rPr>
                <w:sz w:val="18"/>
              </w:rPr>
              <w:t>☐ Processor  ☐ Controller  ☐ Other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sz w:val="18"/>
              </w:rPr>
              <w:t>Data locations</w:t>
            </w:r>
          </w:p>
        </w:tc>
        <w:tc>
          <w:tcPr>
            <w:tcW w:type="dxa" w:w="5760"/>
          </w:tcPr>
          <w:p>
            <w:pPr>
              <w:spacing w:after="60"/>
            </w:pPr>
            <w:r>
              <w:rPr>
                <w:sz w:val="18"/>
              </w:rPr>
              <w:t>[Complete]</w:t>
            </w:r>
          </w:p>
        </w:tc>
      </w:tr>
    </w:tbl>
    <w:p/>
    <w:p>
      <w:pPr>
        <w:pStyle w:val="Heading1"/>
      </w:pPr>
      <w:r>
        <w:t>Control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900"/>
        <w:gridCol w:w="4860"/>
      </w:tblGrid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Response / evidence reference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sz w:val="18"/>
              </w:rPr>
              <w:t>Do you maintain written security and privacy controls?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sz w:val="18"/>
              </w:rPr>
              <w:t>[Yes / no / reference]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sz w:val="18"/>
              </w:rPr>
              <w:t>How are subprocessors approved and notified?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sz w:val="18"/>
              </w:rPr>
              <w:t>[Describe / reference]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sz w:val="18"/>
              </w:rPr>
              <w:t>How do you support deletion or return requests?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sz w:val="18"/>
              </w:rPr>
              <w:t>[Describe / reference]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sz w:val="18"/>
              </w:rPr>
              <w:t>How are security incidents escalated?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sz w:val="18"/>
              </w:rPr>
              <w:t>[Describe / reference]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sz w:val="18"/>
              </w:rPr>
              <w:t>Are international transfers used?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sz w:val="18"/>
              </w:rPr>
              <w:t>[Describe / reference]</w:t>
            </w:r>
          </w:p>
        </w:tc>
      </w:tr>
    </w:tbl>
    <w:p/>
    <w:p>
      <w:pPr>
        <w:pStyle w:val="Heading1"/>
      </w:pPr>
      <w:r>
        <w:t>Reviewer disposition</w:t>
      </w:r>
    </w:p>
    <w:p>
      <w:r>
        <w:rPr>
          <w:b/>
        </w:rPr>
        <w:t xml:space="preserve">Disposition: </w:t>
      </w:r>
      <w:r>
        <w:t>[Enter value]</w:t>
      </w:r>
      <w:r>
        <w:rPr>
          <w:i/>
        </w:rPr>
        <w:t xml:space="preserve">  (☐ Accept  ☐ Accept with conditions  ☐ Escalate; record conditions in the approved remediation log)</w:t>
      </w:r>
    </w:p>
    <w:p>
      <w:pPr>
        <w:pStyle w:val="Heading2"/>
      </w:pPr>
      <w:r>
        <w:t>Evidence review notes</w:t>
      </w:r>
    </w:p>
    <w:p>
      <w:r>
        <w:rPr>
          <w:b/>
        </w:rPr>
        <w:t xml:space="preserve">Evidence reviewed: </w:t>
      </w:r>
      <w:r>
        <w:t>[Enter value]</w:t>
      </w:r>
      <w:r>
        <w:rPr>
          <w:i/>
        </w:rPr>
        <w:t xml:space="preserve">  ([Document / date / limitation])</w:t>
      </w:r>
    </w:p>
    <w:p>
      <w:r>
        <w:rPr>
          <w:b/>
        </w:rPr>
        <w:t xml:space="preserve">Open questions: </w:t>
      </w:r>
      <w:r>
        <w:t>[Enter value]</w:t>
      </w:r>
      <w:r>
        <w:rPr>
          <w:i/>
        </w:rPr>
        <w:t xml:space="preserve">  ([Complete])</w:t>
      </w:r>
    </w:p>
    <w:p>
      <w:r>
        <w:t>☐ Verify that the response is scoped to the proposed service.</w:t>
      </w:r>
    </w:p>
    <w:p>
      <w:r>
        <w:t>☐ Escalate unresolved transfer, security, or deletion issues.</w:t>
      </w:r>
    </w:p>
    <w:p>
      <w:r>
        <w:t>☐ Record approved conditions and reassessment date in the vendor register.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