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Remediation Plan</w:t>
      </w:r>
    </w:p>
    <w:p>
      <w:r>
        <w:rPr>
          <w:i/>
          <w:color w:val="666666"/>
        </w:rPr>
        <w:t>Corrective-action plan and closure record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Plan context</w:t>
      </w:r>
    </w:p>
    <w:p>
      <w:r>
        <w:rPr>
          <w:b/>
        </w:rPr>
        <w:t xml:space="preserve">Vendor / service: </w:t>
      </w:r>
      <w:r>
        <w:t>[Enter value]</w:t>
      </w:r>
      <w:r>
        <w:rPr>
          <w:i/>
        </w:rPr>
        <w:t xml:space="preserve">  ([Complete])</w:t>
      </w:r>
    </w:p>
    <w:p>
      <w:r>
        <w:rPr>
          <w:b/>
        </w:rPr>
        <w:t xml:space="preserve">Assessment reference: </w:t>
      </w:r>
      <w:r>
        <w:t>[Enter value]</w:t>
      </w:r>
      <w:r>
        <w:rPr>
          <w:i/>
        </w:rPr>
        <w:t xml:space="preserve">  ([ID])</w:t>
      </w:r>
    </w:p>
    <w:p>
      <w:r>
        <w:rPr>
          <w:b/>
        </w:rPr>
        <w:t xml:space="preserve">Risk owner: </w:t>
      </w:r>
      <w:r>
        <w:t>[Enter value]</w:t>
      </w:r>
      <w:r>
        <w:rPr>
          <w:i/>
        </w:rPr>
        <w:t xml:space="preserve">  ([Function])</w:t>
      </w:r>
    </w:p>
    <w:p>
      <w:r>
        <w:rPr>
          <w:b/>
        </w:rPr>
        <w:t xml:space="preserve">Target closure date: </w:t>
      </w:r>
      <w:r>
        <w:t>[Enter value]</w:t>
      </w:r>
      <w:r>
        <w:rPr>
          <w:i/>
        </w:rPr>
        <w:t xml:space="preserve">  (Example: 2026-07-12)</w:t>
      </w:r>
    </w:p>
    <w:p>
      <w:pPr>
        <w:pStyle w:val="Heading1"/>
      </w:pPr>
      <w:r>
        <w:t>Corrective 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1300"/>
        <w:gridCol w:w="1300"/>
        <w:gridCol w:w="15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Finding / requirement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Evidence / closure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sz w:val="18"/>
              </w:rPr>
              <w:t>[Finding]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sz w:val="18"/>
              </w:rPr>
              <w:t>[Specific corrective action]</w:t>
            </w:r>
          </w:p>
        </w:tc>
        <w:tc>
          <w:tcPr>
            <w:tcW w:type="dxa" w:w="1300"/>
          </w:tcPr>
          <w:p>
            <w:pPr>
              <w:spacing w:after="60"/>
            </w:pPr>
            <w:r>
              <w:rPr>
                <w:sz w:val="18"/>
              </w:rPr>
              <w:t>[Role]</w:t>
            </w:r>
          </w:p>
        </w:tc>
        <w:tc>
          <w:tcPr>
            <w:tcW w:type="dxa" w:w="1300"/>
          </w:tcPr>
          <w:p>
            <w:pPr>
              <w:spacing w:after="60"/>
            </w:pPr>
            <w:r>
              <w:rPr>
                <w:sz w:val="18"/>
              </w:rPr>
              <w:t>[Date]</w:t>
            </w:r>
          </w:p>
        </w:tc>
        <w:tc>
          <w:tcPr>
            <w:tcW w:type="dxa" w:w="1560"/>
          </w:tcPr>
          <w:p>
            <w:pPr>
              <w:spacing w:after="60"/>
            </w:pPr>
            <w:r>
              <w:rPr>
                <w:sz w:val="18"/>
              </w:rPr>
              <w:t>[Reference]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sz w:val="18"/>
              </w:rPr>
              <w:t>[Finding]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sz w:val="18"/>
              </w:rPr>
              <w:t>[Specific corrective action]</w:t>
            </w:r>
          </w:p>
        </w:tc>
        <w:tc>
          <w:tcPr>
            <w:tcW w:type="dxa" w:w="1300"/>
          </w:tcPr>
          <w:p>
            <w:pPr>
              <w:spacing w:after="60"/>
            </w:pPr>
            <w:r>
              <w:rPr>
                <w:sz w:val="18"/>
              </w:rPr>
              <w:t>[Role]</w:t>
            </w:r>
          </w:p>
        </w:tc>
        <w:tc>
          <w:tcPr>
            <w:tcW w:type="dxa" w:w="1300"/>
          </w:tcPr>
          <w:p>
            <w:pPr>
              <w:spacing w:after="60"/>
            </w:pPr>
            <w:r>
              <w:rPr>
                <w:sz w:val="18"/>
              </w:rPr>
              <w:t>[Date]</w:t>
            </w:r>
          </w:p>
        </w:tc>
        <w:tc>
          <w:tcPr>
            <w:tcW w:type="dxa" w:w="1560"/>
          </w:tcPr>
          <w:p>
            <w:pPr>
              <w:spacing w:after="60"/>
            </w:pPr>
            <w:r>
              <w:rPr>
                <w:sz w:val="18"/>
              </w:rPr>
              <w:t>[Reference]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sz w:val="18"/>
              </w:rPr>
              <w:t>[Finding]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sz w:val="18"/>
              </w:rPr>
              <w:t>[Specific corrective action]</w:t>
            </w:r>
          </w:p>
        </w:tc>
        <w:tc>
          <w:tcPr>
            <w:tcW w:type="dxa" w:w="1300"/>
          </w:tcPr>
          <w:p>
            <w:pPr>
              <w:spacing w:after="60"/>
            </w:pPr>
            <w:r>
              <w:rPr>
                <w:sz w:val="18"/>
              </w:rPr>
              <w:t>[Role]</w:t>
            </w:r>
          </w:p>
        </w:tc>
        <w:tc>
          <w:tcPr>
            <w:tcW w:type="dxa" w:w="1300"/>
          </w:tcPr>
          <w:p>
            <w:pPr>
              <w:spacing w:after="60"/>
            </w:pPr>
            <w:r>
              <w:rPr>
                <w:sz w:val="18"/>
              </w:rPr>
              <w:t>[Date]</w:t>
            </w:r>
          </w:p>
        </w:tc>
        <w:tc>
          <w:tcPr>
            <w:tcW w:type="dxa" w:w="1560"/>
          </w:tcPr>
          <w:p>
            <w:pPr>
              <w:spacing w:after="60"/>
            </w:pPr>
            <w:r>
              <w:rPr>
                <w:sz w:val="18"/>
              </w:rPr>
              <w:t>[Reference]</w:t>
            </w:r>
          </w:p>
        </w:tc>
      </w:tr>
    </w:tbl>
    <w:p/>
    <w:p>
      <w:pPr>
        <w:pStyle w:val="Heading1"/>
      </w:pPr>
      <w:r>
        <w:t>Governance</w:t>
      </w:r>
    </w:p>
    <w:p>
      <w:pPr>
        <w:pStyle w:val="ListBullet"/>
      </w:pPr>
      <w:r>
        <w:t>Review progress at [cadence] and document blockers.</w:t>
      </w:r>
    </w:p>
    <w:p>
      <w:pPr>
        <w:pStyle w:val="ListBullet"/>
      </w:pPr>
      <w:r>
        <w:t>Changes to target dates require [approval function] and rationale.</w:t>
      </w:r>
    </w:p>
    <w:p>
      <w:pPr>
        <w:pStyle w:val="ListBullet"/>
      </w:pPr>
      <w:r>
        <w:t>Closure requires evidence review and residual-risk confirmation.</w:t>
      </w:r>
    </w:p>
    <w:p>
      <w:pPr>
        <w:pStyle w:val="Heading1"/>
      </w:pPr>
      <w:r>
        <w:t>Closure decision</w:t>
      </w:r>
    </w:p>
    <w:p>
      <w:r>
        <w:rPr>
          <w:b/>
        </w:rPr>
        <w:t xml:space="preserve">Closure status: </w:t>
      </w:r>
      <w:r>
        <w:t>[Enter value]</w:t>
      </w:r>
      <w:r>
        <w:rPr>
          <w:i/>
        </w:rPr>
        <w:t xml:space="preserve">  (☐ Closed  ☐ Partially closed  ☐ Escalated)</w:t>
      </w:r>
    </w:p>
    <w:p>
      <w:r>
        <w:rPr>
          <w:b/>
        </w:rPr>
        <w:t xml:space="preserve">Approving function: </w:t>
      </w:r>
      <w:r>
        <w:t>[Enter value]</w:t>
      </w:r>
      <w:r>
        <w:rPr>
          <w:i/>
        </w:rPr>
        <w:t xml:space="preserve">  ([Complete])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