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Regulator call preparation</w:t>
      </w:r>
    </w:p>
    <w:p>
      <w:r>
        <w:rPr>
          <w:color w:val="526777"/>
          <w:sz w:val="20"/>
        </w:rPr>
        <w:t>Matter Alpha | AL-PA-2606 | Draft agenda for internal rehearsal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232"/>
            <w:shd w:fill="EAF2F6"/>
            <w:vAlign w:val="center"/>
          </w:tcPr>
          <w:p>
            <w:pPr>
              <w:spacing w:after="0"/>
            </w:pPr>
            <w:r>
              <w:rPr>
                <w:b/>
                <w:color w:val="18324A"/>
                <w:sz w:val="18"/>
              </w:rPr>
              <w:t>Call posture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Factual, high level, and non-speculative</w:t>
            </w:r>
          </w:p>
        </w:tc>
      </w:tr>
      <w:tr>
        <w:tc>
          <w:tcPr>
            <w:tcW w:type="dxa" w:w="2232"/>
            <w:shd w:fill="EAF2F6"/>
            <w:vAlign w:val="center"/>
          </w:tcPr>
          <w:p>
            <w:pPr>
              <w:spacing w:after="0"/>
            </w:pPr>
            <w:r>
              <w:rPr>
                <w:b/>
                <w:color w:val="18324A"/>
                <w:sz w:val="18"/>
              </w:rPr>
              <w:t>Prepared by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Corporate Privacy Counsel</w:t>
            </w:r>
          </w:p>
        </w:tc>
      </w:tr>
      <w:tr>
        <w:tc>
          <w:tcPr>
            <w:tcW w:type="dxa" w:w="2232"/>
            <w:shd w:fill="EAF2F6"/>
            <w:vAlign w:val="center"/>
          </w:tcPr>
          <w:p>
            <w:pPr>
              <w:spacing w:after="0"/>
            </w:pPr>
            <w:r>
              <w:rPr>
                <w:b/>
                <w:color w:val="18324A"/>
                <w:sz w:val="18"/>
              </w:rPr>
              <w:t>Reference date</w:t>
            </w:r>
          </w:p>
        </w:tc>
        <w:tc>
          <w:tcPr>
            <w:tcW w:type="dxa" w:w="7056"/>
            <w:vAlign w:val="center"/>
          </w:tcPr>
          <w:p>
            <w:pPr>
              <w:spacing w:after="0"/>
            </w:pPr>
            <w:r>
              <w:rPr>
                <w:b w:val="0"/>
                <w:sz w:val="18"/>
              </w:rPr>
              <w:t>30 Jun 2026</w:t>
            </w:r>
          </w:p>
        </w:tc>
      </w:tr>
    </w:tbl>
    <w:p/>
    <w:p>
      <w:pPr>
        <w:pStyle w:val="Heading1"/>
      </w:pPr>
      <w:r>
        <w:t>Purpose</w:t>
      </w:r>
    </w:p>
    <w:p>
      <w:r>
        <w:t>Prepare a concise explanation of the company’s preservation governance without discussing individual data subjects, customer records, source materials, or legal conclusions.</w:t>
      </w:r>
    </w:p>
    <w:p>
      <w:pPr>
        <w:pStyle w:val="Heading2"/>
      </w:pPr>
      <w:r>
        <w:t>Suggested opening</w:t>
      </w:r>
    </w:p>
    <w:p>
      <w:r>
        <w:t>Aster Legal maintains a documented preservation coordination process for Matter Alpha. The current operational register reflects 42 custodians, with 38 acknowledgements logged and four follow-ups under routine review.</w:t>
      </w:r>
    </w:p>
    <w:p>
      <w:pPr>
        <w:pStyle w:val="Heading2"/>
      </w:pPr>
      <w:r>
        <w:t>Question-response lanes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8324A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If asked about</w:t>
            </w:r>
          </w:p>
        </w:tc>
        <w:tc>
          <w:tcPr>
            <w:tcW w:type="dxa" w:w="3264"/>
            <w:shd w:fill="18324A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Use this factual lane</w:t>
            </w:r>
          </w:p>
        </w:tc>
        <w:tc>
          <w:tcPr>
            <w:tcW w:type="dxa" w:w="3264"/>
            <w:shd w:fill="18324A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Avoid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Scope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Aggregate count and review cadence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Names, system contents, assumptions</w:t>
            </w:r>
          </w:p>
        </w:tc>
      </w:tr>
      <w:tr>
        <w:tc>
          <w:tcPr>
            <w:tcW w:type="dxa" w:w="3264"/>
            <w:shd w:fill="F5F8FA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Exceptions</w:t>
            </w:r>
          </w:p>
        </w:tc>
        <w:tc>
          <w:tcPr>
            <w:tcW w:type="dxa" w:w="3264"/>
            <w:shd w:fill="F5F8FA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Deadline of 2026-07-12 and documented review</w:t>
            </w:r>
          </w:p>
        </w:tc>
        <w:tc>
          <w:tcPr>
            <w:tcW w:type="dxa" w:w="3264"/>
            <w:shd w:fill="F5F8FA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Predicted outcome or rationale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Evidence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Records are maintained under normal governance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Descriptions of source materials</w:t>
            </w:r>
          </w:p>
        </w:tc>
      </w:tr>
      <w:tr>
        <w:tc>
          <w:tcPr>
            <w:tcW w:type="dxa" w:w="3264"/>
            <w:shd w:fill="F5F8FA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Next steps</w:t>
            </w:r>
          </w:p>
        </w:tc>
        <w:tc>
          <w:tcPr>
            <w:tcW w:type="dxa" w:w="3264"/>
            <w:shd w:fill="F5F8FA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Status update after reconciliation</w:t>
            </w:r>
          </w:p>
        </w:tc>
        <w:tc>
          <w:tcPr>
            <w:tcW w:type="dxa" w:w="3264"/>
            <w:shd w:fill="F5F8FA"/>
            <w:vAlign w:val="center"/>
          </w:tcPr>
          <w:p>
            <w:pPr>
              <w:spacing w:after="0"/>
            </w:pPr>
            <w:r>
              <w:rPr>
                <w:b w:val="0"/>
                <w:sz w:val="17"/>
              </w:rPr>
              <w:t>Commitments beyond approved plan</w:t>
            </w:r>
          </w:p>
        </w:tc>
      </w:tr>
    </w:tbl>
    <w:p/>
    <w:p>
      <w:pPr>
        <w:pStyle w:val="Heading2"/>
      </w:pPr>
      <w:r>
        <w:t>Internal handoffs</w:t>
      </w:r>
    </w:p>
    <w:p>
      <w:r>
        <w:t>Confirm spokesperson, approved opening, and note-taking method before any external call. Route unexpected questions to the designated business owner for follow-up.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123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6777"/>
        <w:sz w:val="16"/>
      </w:rPr>
      <w:t>Internal working draft | Synthetic training corpus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777"/>
        <w:sz w:val="16"/>
      </w:rPr>
      <w:t>ASTER LEGAL  |  CORPORATE PRIVACY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6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832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76C8E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2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