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Working label guide</w:t>
      </w:r>
    </w:p>
    <w:p>
      <w:r>
        <w:rPr>
          <w:color w:val="526777"/>
          <w:sz w:val="20"/>
        </w:rPr>
        <w:t>Matter Alpha workspace | Practical handling notes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32"/>
            <w:shd w:fill="EAF2F6"/>
            <w:vAlign w:val="center"/>
          </w:tcPr>
          <w:p>
            <w:pPr>
              <w:spacing w:after="0"/>
            </w:pPr>
            <w:r>
              <w:rPr>
                <w:b/>
                <w:color w:val="18324A"/>
                <w:sz w:val="18"/>
              </w:rPr>
              <w:t>Applies to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Desktop working files and draft coordination material</w:t>
            </w:r>
          </w:p>
        </w:tc>
      </w:tr>
      <w:tr>
        <w:tc>
          <w:tcPr>
            <w:tcW w:type="dxa" w:w="2232"/>
            <w:shd w:fill="EAF2F6"/>
            <w:vAlign w:val="center"/>
          </w:tcPr>
          <w:p>
            <w:pPr>
              <w:spacing w:after="0"/>
            </w:pPr>
            <w:r>
              <w:rPr>
                <w:b/>
                <w:color w:val="18324A"/>
                <w:sz w:val="18"/>
              </w:rPr>
              <w:t>Not a classification policy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Use approved enterprise policy where it differs</w:t>
            </w:r>
          </w:p>
        </w:tc>
      </w:tr>
      <w:tr>
        <w:tc>
          <w:tcPr>
            <w:tcW w:type="dxa" w:w="2232"/>
            <w:shd w:fill="EAF2F6"/>
            <w:vAlign w:val="center"/>
          </w:tcPr>
          <w:p>
            <w:pPr>
              <w:spacing w:after="0"/>
            </w:pPr>
            <w:r>
              <w:rPr>
                <w:b/>
                <w:color w:val="18324A"/>
                <w:sz w:val="18"/>
              </w:rPr>
              <w:t>Review date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2026-06-30</w:t>
            </w:r>
          </w:p>
        </w:tc>
      </w:tr>
    </w:tbl>
    <w:p/>
    <w:p>
      <w:pPr>
        <w:pStyle w:val="Heading1"/>
      </w:pPr>
      <w:r>
        <w:t>Use clear working labels</w:t>
      </w:r>
    </w:p>
    <w:p>
      <w:r>
        <w:t>Labels help collaborators identify purpose and handling expectations. They do not create legal status, waive obligations, or determine whether a document is protected.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8324A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type="dxa" w:w="3264"/>
            <w:shd w:fill="18324A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Use when</w:t>
            </w:r>
          </w:p>
        </w:tc>
        <w:tc>
          <w:tcPr>
            <w:tcW w:type="dxa" w:w="3264"/>
            <w:shd w:fill="18324A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Example filename cue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Working draft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Content is incomplete or being reviewed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working-</w:t>
            </w:r>
          </w:p>
        </w:tc>
      </w:tr>
      <w:tr>
        <w:tc>
          <w:tcPr>
            <w:tcW w:type="dxa" w:w="3264"/>
            <w:shd w:fill="F5F8FA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Status snapshot</w:t>
            </w:r>
          </w:p>
        </w:tc>
        <w:tc>
          <w:tcPr>
            <w:tcW w:type="dxa" w:w="3264"/>
            <w:shd w:fill="F5F8FA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Count-level operational view</w:t>
            </w:r>
          </w:p>
        </w:tc>
        <w:tc>
          <w:tcPr>
            <w:tcW w:type="dxa" w:w="3264"/>
            <w:shd w:fill="F5F8FA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alpha-42-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Reference extract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Short internal summary of a public-style source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guidance-extract-</w:t>
            </w:r>
          </w:p>
        </w:tc>
      </w:tr>
      <w:tr>
        <w:tc>
          <w:tcPr>
            <w:tcW w:type="dxa" w:w="3264"/>
            <w:shd w:fill="F5F8FA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Decision notes</w:t>
            </w:r>
          </w:p>
        </w:tc>
        <w:tc>
          <w:tcPr>
            <w:tcW w:type="dxa" w:w="3264"/>
            <w:shd w:fill="F5F8FA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Record of an internal operational choice</w:t>
            </w:r>
          </w:p>
        </w:tc>
        <w:tc>
          <w:tcPr>
            <w:tcW w:type="dxa" w:w="3264"/>
            <w:shd w:fill="F5F8FA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decision-notes-</w:t>
            </w:r>
          </w:p>
        </w:tc>
      </w:tr>
    </w:tbl>
    <w:p/>
    <w:p>
      <w:pPr>
        <w:pStyle w:val="Heading2"/>
      </w:pPr>
      <w:r>
        <w:t>Filename hygiene</w:t>
      </w:r>
    </w:p>
    <w:p>
      <w:r>
        <w:t>Use Matter Alpha and AL-PA-2606 consistently. Do not place personal names, email addresses, system identifiers, credentials, or copied source material in filenames.</w:t>
      </w:r>
    </w:p>
    <w:p>
      <w:pPr>
        <w:pStyle w:val="Heading2"/>
      </w:pPr>
      <w:r>
        <w:t>Before sharing</w:t>
      </w:r>
    </w:p>
    <w:p>
      <w:r>
        <w:t>Check recipient scope, remove unnecessary detail, and confirm that the document contains only synthetic or approved aggregate information. Escalate uncertain handling questions through the normal privacy operations channel.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123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777"/>
        <w:sz w:val="16"/>
      </w:rPr>
      <w:t>Internal working draft | Synthetic training corpus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7"/>
        <w:sz w:val="16"/>
      </w:rPr>
      <w:t>ASTER LEGAL  |  CORPORATE PRIVACY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6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832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76C8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2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