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color w:val="1F4E79"/>
        </w:rPr>
        <w:t>Matter Alpha - New Source Intake</w:t>
      </w:r>
    </w:p>
    <w:p>
      <w:r>
        <w:rPr>
          <w:i/>
        </w:rPr>
        <w:t>Synthetic legal hold intake worksheet | Aster Legal | issued 2026-06-30</w:t>
      </w:r>
    </w:p>
    <w:p>
      <w:r>
        <w:t>Purpose. Use this worksheet to document a newly identified potential source without placing underlying content in the intake record. Matter Alpha covers 42 designated custodians; documented access exceptions are due by 2026-07-12.</w:t>
      </w:r>
    </w:p>
    <w:p>
      <w:pPr>
        <w:pStyle w:val="Heading1"/>
      </w:pPr>
      <w:r>
        <w:t>Intake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b/>
              </w:rPr>
              <w:t>Field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b/>
              </w:rPr>
              <w:t>Entry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Matter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Matter Alpha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Source category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____________________________________________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System or location (high level only)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____________________________________________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Native format preserved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Yes / No / Pending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Custodian group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____________________________________________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Access exception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None / Describe in separate exception 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Intake date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____________________________________________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t>Reviewer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t>Privacy Counsel</w:t>
            </w:r>
          </w:p>
        </w:tc>
      </w:tr>
    </w:tbl>
    <w:p>
      <w:pPr>
        <w:pStyle w:val="Heading1"/>
      </w:pPr>
      <w:r>
        <w:t>Handling notes</w:t>
      </w:r>
    </w:p>
    <w:p>
      <w:pPr>
        <w:pStyle w:val="ListBullet"/>
      </w:pPr>
      <w:r>
        <w:t>Keep this form with the intake register; do not attach source content.</w:t>
      </w:r>
    </w:p>
    <w:p>
      <w:pPr>
        <w:pStyle w:val="ListBullet"/>
      </w:pPr>
      <w:r>
        <w:t>Preserve the source in native format where practicable.</w:t>
      </w:r>
    </w:p>
    <w:p>
      <w:pPr>
        <w:pStyle w:val="ListBullet"/>
      </w:pPr>
      <w:r>
        <w:t>Escalate a documented access constraint before the 2026-07-12 exception deadline.</w:t>
      </w:r>
    </w:p>
    <w:p>
      <w:pPr>
        <w:pStyle w:val="ListBullet"/>
      </w:pPr>
      <w:r>
        <w:t>This document is wholly synthetic and is not legal advice.</w:t>
      </w:r>
    </w:p>
    <w:p>
      <w:pPr>
        <w:pStyle w:val="Caption"/>
      </w:pPr>
      <w:r>
        <w:t>Internal training record - synthetic facts only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