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7365D"/>
          <w:sz w:val="44"/>
        </w:rPr>
        <w:t>VENDOR RISK SUMMARY</w:t>
      </w:r>
    </w:p>
    <w:p>
      <w:r>
        <w:rPr>
          <w:i/>
          <w:color w:val="505A64"/>
        </w:rPr>
        <w:t>Cinder Bay Processing Ltd. | Matter Alpha diligence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2F4F7"/>
            <w:vAlign w:val="center"/>
          </w:tcPr>
          <w:p>
            <w:r>
              <w:rPr>
                <w:b/>
                <w:sz w:val="20"/>
              </w:rPr>
              <w:t>Prepared for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20"/>
              </w:rPr>
              <w:t>Aster Legal</w:t>
            </w:r>
          </w:p>
        </w:tc>
      </w:tr>
      <w:tr>
        <w:tc>
          <w:tcPr>
            <w:tcW w:type="dxa" w:w="2016"/>
            <w:shd w:fill="F2F4F7"/>
            <w:vAlign w:val="center"/>
          </w:tcPr>
          <w:p>
            <w:r>
              <w:rPr>
                <w:b/>
                <w:sz w:val="20"/>
              </w:rPr>
              <w:t>Matter reference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20"/>
              </w:rPr>
              <w:t>AL-PA-2606</w:t>
            </w:r>
          </w:p>
        </w:tc>
      </w:tr>
      <w:tr>
        <w:tc>
          <w:tcPr>
            <w:tcW w:type="dxa" w:w="2016"/>
            <w:shd w:fill="F2F4F7"/>
            <w:vAlign w:val="center"/>
          </w:tcPr>
          <w:p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20"/>
              </w:rPr>
              <w:t>2026-06-30</w:t>
            </w:r>
          </w:p>
        </w:tc>
      </w:tr>
      <w:tr>
        <w:tc>
          <w:tcPr>
            <w:tcW w:type="dxa" w:w="2016"/>
            <w:shd w:fill="F2F4F7"/>
            <w:vAlign w:val="center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20"/>
              </w:rPr>
              <w:t>Synthetic privacy diligence</w:t>
            </w:r>
          </w:p>
        </w:tc>
      </w:tr>
    </w:tbl>
    <w:p>
      <w:pPr>
        <w:pStyle w:val="Heading1"/>
      </w:pPr>
      <w:r>
        <w:t>Executive assessment</w:t>
      </w:r>
    </w:p>
    <w:p>
      <w:r>
        <w:t>Cinder Bay Processing Ltd. is a synthetic service provider reviewed for privacy governance, transfer controls, and evidence readiness. The review identifies twelve findings: three high, six medium, and three low. No real customer, employee, or operational data is included in this summary.</w:t>
      </w:r>
    </w:p>
    <w:p>
      <w:pPr>
        <w:pStyle w:val="Heading2"/>
      </w:pPr>
      <w:r>
        <w:t>Decision posture</w:t>
      </w:r>
    </w:p>
    <w:p>
      <w:pPr>
        <w:pStyle w:val="ListBullet"/>
      </w:pPr>
      <w:r>
        <w:t>Proceed only with a time-bound remediation plan for the three high findings.</w:t>
      </w:r>
    </w:p>
    <w:p>
      <w:pPr>
        <w:pStyle w:val="ListBullet"/>
      </w:pPr>
      <w:r>
        <w:t>Require evidence of completion by 2026-08-15 before relying on the affected controls.</w:t>
      </w:r>
    </w:p>
    <w:p>
      <w:pPr>
        <w:pStyle w:val="ListBullet"/>
      </w:pPr>
      <w:r>
        <w:t>Track the legal-hold preservation population of 42 separately from routine diligence records.</w:t>
      </w:r>
    </w:p>
    <w:p>
      <w:pPr>
        <w:pStyle w:val="Heading1"/>
      </w:pPr>
      <w:r>
        <w:t>Findings requiring attention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D9EAF7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3960"/>
            <w:shd w:fill="D9EAF7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1440"/>
          </w:tcPr>
          <w:p>
            <w:r>
              <w:t>CB-01</w:t>
            </w:r>
          </w:p>
        </w:tc>
        <w:tc>
          <w:tcPr>
            <w:tcW w:type="dxa" w:w="3960"/>
          </w:tcPr>
          <w:p>
            <w:r>
              <w:t>Deletion verification cadence is not evidenced.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CB-02</w:t>
            </w:r>
          </w:p>
        </w:tc>
        <w:tc>
          <w:tcPr>
            <w:tcW w:type="dxa" w:w="3960"/>
          </w:tcPr>
          <w:p>
            <w:r>
              <w:t>Subprocessor approval rationale needs a durable record.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CB-03</w:t>
            </w:r>
          </w:p>
        </w:tc>
        <w:tc>
          <w:tcPr>
            <w:tcW w:type="dxa" w:w="3960"/>
          </w:tcPr>
          <w:p>
            <w:r>
              <w:t>Access review exception log requires completion.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2026-08-15</w:t>
            </w:r>
          </w:p>
        </w:tc>
      </w:tr>
    </w:tbl>
    <w:p>
      <w:pPr>
        <w:pStyle w:val="Heading1"/>
      </w:pPr>
      <w:r>
        <w:t>Controls and follow-up</w:t>
      </w:r>
    </w:p>
    <w:p>
      <w:r>
        <w:t>The corresponding data-room tracker assigns owners, evidence references, and due dates. Exceptions tied to Matter Alpha should be handled as synthetic work product for this corpus and are not legal advice or a privileged record.</w:t>
      </w:r>
    </w:p>
    <w:p>
      <w:r>
        <w:t>Next review checkpoint: 2026-07-12. High-risk remediation deadline: 2026-08-15.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Internal working summary - synthetic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46E"/>
        <w:sz w:val="18"/>
      </w:rPr>
      <w:t>Aster Legal | Synthetic Vendor Due Diligence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