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Collection Gap Analysis</w:t>
      </w:r>
    </w:p>
    <w:p>
      <w:r>
        <w:rPr>
          <w:i/>
          <w:color w:val="595959"/>
        </w:rPr>
        <w:t>Control-gap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Identify readiness gaps across 53 mapped sources before collection authorization.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Gap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Gap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Compensating control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 exceptions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Readiness variance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Written decision record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 pending acknowledgements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Notice evidence incomplete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Daily follow-up</w:t>
            </w:r>
          </w:p>
        </w:tc>
      </w:tr>
    </w:tbl>
    <w:p>
      <w:pPr>
        <w:spacing w:after="40"/>
      </w:pPr>
    </w:p>
    <w:p>
      <w:pPr>
        <w:pStyle w:val="Heading1"/>
      </w:pPr>
      <w:r>
        <w:t>1. Readiness baseline</w:t>
      </w:r>
    </w:p>
    <w:p>
      <w:r>
        <w:t>Identify readiness gaps across 53 mapped sources before collection authorization.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Gap register and compensating controls</w:t>
      </w:r>
    </w:p>
    <w:p>
      <w:r>
        <w:t>Identify readiness gaps across 53 mapped sources before collection authorization.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Exception escalation pathway</w:t>
      </w:r>
    </w:p>
    <w:p>
      <w:r>
        <w:t>Identify readiness gaps across 53 mapped sources before collection authorization.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Evidence required for closure</w:t>
      </w:r>
    </w:p>
    <w:p>
      <w:r>
        <w:t>Identify readiness gaps across 53 mapped sources before collection authorization.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