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Exception Analysis - 2026-07-12</w:t>
      </w:r>
    </w:p>
    <w:p>
      <w:r>
        <w:rPr>
          <w:i/>
          <w:color w:val="595959"/>
        </w:rPr>
        <w:t>Decision memorandum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Resolve five collection exceptions by the documented deadline without expanding preservation scope.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Disposition checklist</w:t>
      </w:r>
    </w:p>
    <w:p>
      <w:pPr>
        <w:pStyle w:val="ListBullet"/>
      </w:pPr>
      <w:r>
        <w:t>Confirm exception description is synthetic and bounded.</w:t>
      </w:r>
    </w:p>
    <w:p>
      <w:pPr>
        <w:pStyle w:val="ListBullet"/>
      </w:pPr>
      <w:r>
        <w:t>Identify owner and alternate preservation control.</w:t>
      </w:r>
    </w:p>
    <w:p>
      <w:pPr>
        <w:pStyle w:val="ListBullet"/>
      </w:pPr>
      <w:r>
        <w:t>Approve, defer, or reject by 2026-07-12.</w:t>
      </w:r>
    </w:p>
    <w:p>
      <w:pPr>
        <w:pStyle w:val="ListBullet"/>
      </w:pPr>
      <w:r>
        <w:t>Link decision to closure evidence.</w:t>
      </w:r>
    </w:p>
    <w:p>
      <w:pPr>
        <w:pStyle w:val="Heading1"/>
      </w:pPr>
      <w:r>
        <w:t>1. Question presented</w:t>
      </w:r>
    </w:p>
    <w:p>
      <w:r>
        <w:t>Resolve five collection exceptions by the documented deadline without expanding preservation scope.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Exception-by-exception analysis</w:t>
      </w:r>
    </w:p>
    <w:p>
      <w:r>
        <w:t>Resolve five collection exceptions by the documented deadline without expanding preservation scope.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Recommended disposition</w:t>
      </w:r>
    </w:p>
    <w:p>
      <w:r>
        <w:t>Resolve five collection exceptions by the documented deadline without expanding preservation scope.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Decision log requirements</w:t>
      </w:r>
    </w:p>
    <w:p>
      <w:r>
        <w:t>Resolve five collection exceptions by the documented deadline without expanding preservation scope.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