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Factual Chronology</w:t>
      </w:r>
    </w:p>
    <w:p>
      <w:r>
        <w:rPr>
          <w:i/>
          <w:color w:val="595959"/>
        </w:rPr>
        <w:t>Chronology and source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Record synthetic Matter Alpha events and supporting source references in sequence.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Event ledger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Source reference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intake recorded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INT-01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2026-06-15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 map refreshed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MAP-02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 status confirmed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STAT-03</w:t>
            </w:r>
          </w:p>
        </w:tc>
      </w:tr>
    </w:tbl>
    <w:p>
      <w:pPr>
        <w:spacing w:after="40"/>
      </w:pPr>
    </w:p>
    <w:p>
      <w:pPr>
        <w:pStyle w:val="Heading1"/>
      </w:pPr>
      <w:r>
        <w:t>1. Chronology conventions</w:t>
      </w:r>
    </w:p>
    <w:p>
      <w:r>
        <w:t>Record synthetic Matter Alpha events and supporting source references in sequence.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Events: 2026-06-01 through 2026-06-30</w:t>
      </w:r>
    </w:p>
    <w:p>
      <w:r>
        <w:t>Record synthetic Matter Alpha events and supporting source references in sequence.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Known gaps and validation actions</w:t>
      </w:r>
    </w:p>
    <w:p>
      <w:r>
        <w:t>Record synthetic Matter Alpha events and supporting source references in sequence.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Custody notes</w:t>
      </w:r>
    </w:p>
    <w:p>
      <w:r>
        <w:t>Record synthetic Matter Alpha events and supporting source references in sequence.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