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Legal Hold Scope Memorandum</w:t>
      </w:r>
    </w:p>
    <w:p>
      <w:r>
        <w:rPr>
          <w:i/>
          <w:color w:val="595959"/>
        </w:rPr>
        <w:t>Scope memorandum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Define the proportional preservation boundary for Matter Alpha.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Scope boundary statement</w:t>
      </w:r>
    </w:p>
    <w:p>
      <w:r>
        <w:t>Included: the defined 42-subject synthetic population, relevant source categories, and the agreed review period. Excluded: unrelated systems, uncontrolled expansions, and actual content not needed to validate a control decision.</w:t>
      </w:r>
    </w:p>
    <w:p>
      <w:pPr>
        <w:pStyle w:val="Heading1"/>
      </w:pPr>
      <w:r>
        <w:t>1. Matter framing</w:t>
      </w:r>
    </w:p>
    <w:p>
      <w:r>
        <w:t>Define the proportional preservation boundary for Matter Alpha.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Included people, systems, and time period</w:t>
      </w:r>
    </w:p>
    <w:p>
      <w:r>
        <w:t>Define the proportional preservation boundary for Matter Alpha.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Excluded categories and rationale</w:t>
      </w:r>
    </w:p>
    <w:p>
      <w:r>
        <w:t>Define the proportional preservation boundary for Matter Alpha.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Approval and review cadence</w:t>
      </w:r>
    </w:p>
    <w:p>
      <w:r>
        <w:t>Define the proportional preservation boundary for Matter Alpha.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