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Preservation Risk Assessment</w:t>
      </w:r>
    </w:p>
    <w:p>
      <w:r>
        <w:rPr>
          <w:i/>
          <w:color w:val="595959"/>
        </w:rPr>
        <w:t>Risk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As of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AL-PA-2606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deadline: 2026-07-12</w:t>
            </w:r>
          </w:p>
        </w:tc>
      </w:tr>
    </w:tbl>
    <w:p>
      <w:pPr>
        <w:spacing w:after="40"/>
      </w:pPr>
    </w:p>
    <w:p>
      <w:r>
        <w:rPr>
          <w:b/>
        </w:rPr>
        <w:t>42 subjects; 38 acknowledgements; 4 pending; 53 sources; 48 ready; 5 exceptions; exception decision deadline 2026-07-12.</w:t>
      </w:r>
    </w:p>
    <w:p>
      <w:pPr>
        <w:pStyle w:val="Heading1"/>
      </w:pPr>
      <w:r>
        <w:t>Executive purpose</w:t>
      </w:r>
    </w:p>
    <w:p>
      <w:r>
        <w:t>Assess operational risk to preservation completeness and defensibility.</w:t>
      </w:r>
    </w:p>
    <w:p>
      <w:pPr>
        <w:pStyle w:val="Heading1"/>
      </w:pPr>
      <w:r>
        <w:t>Operating facts</w:t>
      </w:r>
    </w:p>
    <w:p>
      <w:r>
        <w:t>42 subjects; 38 acknowledgements; 4 pending; 53 sources; 48 ready; 5 exceptions; exception decision deadline 2026-07-12.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38 of 42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Follow up with 4 pending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 of 53 ready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5 exceptions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date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 approval or alternate control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Risk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Inherent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Residual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Pending notice acknowledgement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Low with daily follow-up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 exception unresolved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Medium until decision</w:t>
            </w:r>
          </w:p>
        </w:tc>
      </w:tr>
    </w:tbl>
    <w:p>
      <w:pPr>
        <w:spacing w:after="40"/>
      </w:pPr>
    </w:p>
    <w:p>
      <w:pPr>
        <w:pStyle w:val="Heading1"/>
      </w:pPr>
      <w:r>
        <w:t>1. Risk criteria</w:t>
      </w:r>
    </w:p>
    <w:p>
      <w:r>
        <w:t>Assess operational risk to preservation completeness and defensibility.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2. Top risk scenarios</w:t>
      </w:r>
    </w:p>
    <w:p>
      <w:r>
        <w:t>Assess operational risk to preservation completeness and defensibility.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r>
        <w:br w:type="page"/>
      </w:r>
    </w:p>
    <w:p>
      <w:pPr>
        <w:pStyle w:val="Heading1"/>
      </w:pPr>
      <w:r>
        <w:t>3. Mitigations and residual risk</w:t>
      </w:r>
    </w:p>
    <w:p>
      <w:r>
        <w:t>Assess operational risk to preservation completeness and defensibility.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4. Monitoring triggers</w:t>
      </w:r>
    </w:p>
    <w:p>
      <w:r>
        <w:t>Assess operational risk to preservation completeness and defensibility.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pPr>
        <w:pStyle w:val="Heading1"/>
      </w:pPr>
      <w:r>
        <w:t>Approvals and recordkeeping</w:t>
      </w:r>
    </w:p>
    <w:p>
      <w:r>
        <w:t>Decision owner: Privacy Legal Lead. Operational owner: Collection Coordinator. Review cadence: daily through 2026-07-12, then weekly until all exceptions are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work product - no real persons, records, or privileged materials.  |  AL-PA-2606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ASTER LEGAL  |  MATTER ALPHA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