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Matter Alpha Workplan</w:t>
      </w:r>
    </w:p>
    <w:p>
      <w:r>
        <w:rPr>
          <w:i/>
          <w:color w:val="595959"/>
        </w:rPr>
        <w:t>Execution workplan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Coordinate actions through the 2026-07-12 exception deadline.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Milestone 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Accountable owner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Baseline reconciled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2026-07-05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review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complete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</w:tr>
    </w:tbl>
    <w:p>
      <w:pPr>
        <w:spacing w:after="40"/>
      </w:pPr>
    </w:p>
    <w:p>
      <w:pPr>
        <w:pStyle w:val="Heading1"/>
      </w:pPr>
      <w:r>
        <w:t>1. Milestones and owners</w:t>
      </w:r>
    </w:p>
    <w:p>
      <w:r>
        <w:t>Coordinate actions through the 2026-07-12 exception deadline.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Weekly operating rhythm</w:t>
      </w:r>
    </w:p>
    <w:p>
      <w:r>
        <w:t>Coordinate actions through the 2026-07-12 exception deadline.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Dependencies and decisions</w:t>
      </w:r>
    </w:p>
    <w:p>
      <w:r>
        <w:t>Coordinate actions through the 2026-07-12 exception deadline.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Completion evidence</w:t>
      </w:r>
    </w:p>
    <w:p>
      <w:r>
        <w:t>Coordinate actions through the 2026-07-12 exception deadline.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