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Data Handling Policy</w:t>
      </w:r>
    </w:p>
    <w:p>
      <w:r>
        <w:rPr>
          <w:b/>
        </w:rPr>
        <w:t>Aster Legal | Privacy Office | Internal synthetic policy record</w:t>
      </w:r>
    </w:p>
    <w:p>
      <w:pPr>
        <w:spacing w:after="240"/>
      </w:pPr>
      <w:r>
        <w:t>This policy defines practical controls for employee information used in Aster Legal operations.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Effective date</w:t>
            </w:r>
          </w:p>
        </w:tc>
        <w:tc>
          <w:tcPr>
            <w:tcW w:type="dxa" w:w="4680"/>
          </w:tcPr>
          <w:p>
            <w:r>
              <w:t>2026-06-30</w:t>
            </w:r>
          </w:p>
        </w:tc>
      </w:tr>
      <w:tr>
        <w:tc>
          <w:tcPr>
            <w:tcW w:type="dxa" w:w="4680"/>
          </w:tcPr>
          <w:p>
            <w:r>
              <w:t>Matter anchor</w:t>
            </w:r>
          </w:p>
        </w:tc>
        <w:tc>
          <w:tcPr>
            <w:tcW w:type="dxa" w:w="4680"/>
          </w:tcPr>
          <w:p>
            <w:r>
              <w:t>Matter Alpha</w:t>
            </w:r>
          </w:p>
        </w:tc>
      </w:tr>
      <w:tr>
        <w:tc>
          <w:tcPr>
            <w:tcW w:type="dxa" w:w="4680"/>
          </w:tcPr>
          <w:p>
            <w:r>
              <w:t>Preservation population</w:t>
            </w:r>
          </w:p>
        </w:tc>
        <w:tc>
          <w:tcPr>
            <w:tcW w:type="dxa" w:w="4680"/>
          </w:tcPr>
          <w:p>
            <w:r>
              <w:t>42</w:t>
            </w:r>
          </w:p>
        </w:tc>
      </w:tr>
      <w:tr>
        <w:tc>
          <w:tcPr>
            <w:tcW w:type="dxa" w:w="4680"/>
          </w:tcPr>
          <w:p>
            <w:r>
              <w:t>Exception review date</w:t>
            </w:r>
          </w:p>
        </w:tc>
        <w:tc>
          <w:tcPr>
            <w:tcW w:type="dxa" w:w="4680"/>
          </w:tcPr>
          <w:p>
            <w:r>
              <w:t>2026-07-12</w:t>
            </w:r>
          </w:p>
        </w:tc>
      </w:tr>
    </w:tbl>
    <w:p>
      <w:pPr>
        <w:pStyle w:val="Heading1"/>
      </w:pPr>
      <w:r>
        <w:t>1. Approved handling</w:t>
      </w:r>
    </w:p>
    <w:p>
      <w:r>
        <w:t>Use employee information only for documented employment, benefits, workplace administration, security, or legal purposes. Access must be limited to approved roles and systems.</w:t>
      </w:r>
    </w:p>
    <w:p>
      <w:r>
        <w:t>Do not copy employee records into unapproved tools, personal storage, or informal collaboration spaces.</w:t>
      </w:r>
    </w:p>
    <w:p>
      <w:pPr>
        <w:pStyle w:val="Heading1"/>
      </w:pPr>
      <w:r>
        <w:t>2. Access and safeguards</w:t>
      </w:r>
    </w:p>
    <w:p>
      <w:r>
        <w:t>Managers may access only information necessary for their assigned responsibilities. Sensitive fields require elevated approval and are reviewed periodically.</w:t>
      </w:r>
    </w:p>
    <w:p>
      <w:r>
        <w:t>Report accidental access, misdirection, or loss through the privacy incident channel without delay.</w:t>
      </w:r>
    </w:p>
    <w:p>
      <w:pPr>
        <w:pStyle w:val="Heading1"/>
      </w:pPr>
      <w:r>
        <w:t>3. Retention and holds</w:t>
      </w:r>
    </w:p>
    <w:p>
      <w:r>
        <w:t>Follow the approved retention schedule. A legal hold suspends ordinary deletion for relevant records. Matter Alpha preserves an identified population of 42 until written release by counsel.</w:t>
      </w:r>
    </w:p>
    <w:p>
      <w:pPr>
        <w:pStyle w:val="Heading1"/>
      </w:pPr>
      <w:r>
        <w:t>4. Exceptions</w:t>
      </w:r>
    </w:p>
    <w:p>
      <w:r>
        <w:t>Document business need, duration, owner, and compensating controls. The current exception review date is 2026-07-12.</w:t>
      </w:r>
    </w:p>
    <w:sectPr>
      <w:footerReference w:type="default" r:id="rId9"/>
      <w:pgSz w:w="12240" w:h="15840"/>
      <w:pgMar w:top="1440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Aster Legal | Internal synthetic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3385C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