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Incident Response Policy</w:t>
      </w:r>
    </w:p>
    <w:p>
      <w:r>
        <w:rPr>
          <w:b/>
        </w:rPr>
        <w:t>Aster Legal | Privacy Office | Internal synthetic policy record</w:t>
      </w:r>
    </w:p>
    <w:p>
      <w:pPr>
        <w:spacing w:after="240"/>
      </w:pPr>
      <w:r>
        <w:t>This policy coordinates triage, containment, assessment, and closure of potential privacy incidents.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Effective date</w:t>
            </w:r>
          </w:p>
        </w:tc>
        <w:tc>
          <w:tcPr>
            <w:tcW w:type="dxa" w:w="4680"/>
          </w:tcPr>
          <w:p>
            <w:r>
              <w:t>2026-06-30</w:t>
            </w:r>
          </w:p>
        </w:tc>
      </w:tr>
      <w:tr>
        <w:tc>
          <w:tcPr>
            <w:tcW w:type="dxa" w:w="4680"/>
          </w:tcPr>
          <w:p>
            <w:r>
              <w:t>Matter anchor</w:t>
            </w:r>
          </w:p>
        </w:tc>
        <w:tc>
          <w:tcPr>
            <w:tcW w:type="dxa" w:w="4680"/>
          </w:tcPr>
          <w:p>
            <w:r>
              <w:t>Matter Alpha</w:t>
            </w:r>
          </w:p>
        </w:tc>
      </w:tr>
      <w:tr>
        <w:tc>
          <w:tcPr>
            <w:tcW w:type="dxa" w:w="4680"/>
          </w:tcPr>
          <w:p>
            <w:r>
              <w:t>Preservation population</w:t>
            </w:r>
          </w:p>
        </w:tc>
        <w:tc>
          <w:tcPr>
            <w:tcW w:type="dxa" w:w="4680"/>
          </w:tcPr>
          <w:p>
            <w:r>
              <w:t>42</w:t>
            </w:r>
          </w:p>
        </w:tc>
      </w:tr>
      <w:tr>
        <w:tc>
          <w:tcPr>
            <w:tcW w:type="dxa" w:w="4680"/>
          </w:tcPr>
          <w:p>
            <w:r>
              <w:t>Exception review date</w:t>
            </w:r>
          </w:p>
        </w:tc>
        <w:tc>
          <w:tcPr>
            <w:tcW w:type="dxa" w:w="4680"/>
          </w:tcPr>
          <w:p>
            <w:r>
              <w:t>2026-07-12</w:t>
            </w:r>
          </w:p>
        </w:tc>
      </w:tr>
    </w:tbl>
    <w:p>
      <w:pPr>
        <w:pStyle w:val="Heading1"/>
      </w:pPr>
      <w:r>
        <w:t>1. Intake and triage</w:t>
      </w:r>
    </w:p>
    <w:p>
      <w:r>
        <w:t>Log the report promptly, preserve available evidence, and assign a response lead. Do not speculate about impact in external communications.</w:t>
      </w:r>
    </w:p>
    <w:p>
      <w:r>
        <w:t>Classify scope, information categories, systems, and affected process owners using the incident record.</w:t>
      </w:r>
    </w:p>
    <w:p>
      <w:pPr>
        <w:pStyle w:val="Heading1"/>
      </w:pPr>
      <w:r>
        <w:t>2. Containment and assessment</w:t>
      </w:r>
    </w:p>
    <w:p>
      <w:r>
        <w:t>Contain access where safe, maintain chain-of-custody notes, and engage Privacy, Security, and Legal for material events. Assess contractual and regulatory notice obligations using approved guidance.</w:t>
      </w:r>
    </w:p>
    <w:p>
      <w:pPr>
        <w:pStyle w:val="Heading1"/>
      </w:pPr>
      <w:r>
        <w:t>3. Preservation guardrail</w:t>
      </w:r>
    </w:p>
    <w:p>
      <w:r>
        <w:t>Matter Alpha materials must remain preserved. The identified population is 42; do not alter, delete, or reconcile related records without counsel direction.</w:t>
      </w:r>
    </w:p>
    <w:p>
      <w:pPr>
        <w:pStyle w:val="Heading1"/>
      </w:pPr>
      <w:r>
        <w:t>4. Closure</w:t>
      </w:r>
    </w:p>
    <w:p>
      <w:r>
        <w:t>Record root cause, corrective actions, owner, and closure approval. Any policy exception is reviewed no later than 2026-07-12.</w:t>
      </w:r>
    </w:p>
    <w:sectPr>
      <w:footerReference w:type="default" r:id="rId9"/>
      <w:pgSz w:w="12240" w:h="15840"/>
      <w:pgMar w:top="1440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Aster Legal | Internal synthetic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3385C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