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17365D"/>
          <w:sz w:val="44"/>
        </w:rPr>
        <w:t>FY2026 Q1 Control Testing Memo</w:t>
      </w:r>
    </w:p>
    <w:p>
      <w:pPr>
        <w:pStyle w:val="Subtitle"/>
      </w:pPr>
      <w:r>
        <w:t>Cedar Works | Evidence ID CW-EV-2603-02 | Prepared 2026-04-03 | Owner role: Financial Control</w:t>
      </w:r>
    </w:p>
    <w:p>
      <w:pPr>
        <w:pStyle w:val="Heading1"/>
      </w:pPr>
      <w:r>
        <w:t>Purpose</w:t>
      </w:r>
    </w:p>
    <w:p>
      <w:r>
        <w:t>Document the conclusion on the March cash-reconciliation control and linked audit evidence for Cedar Works FY2026 Q1.</w:t>
      </w:r>
    </w:p>
    <w:p>
      <w:pPr>
        <w:pStyle w:val="Heading1"/>
      </w:pPr>
      <w:r>
        <w:t>Control tested</w:t>
      </w:r>
    </w:p>
    <w:p>
      <w:r>
        <w:t>CTRL-CASH-01 requires Financial Control to reconcile ledger cash to bank cash, classify timing and other reconciling items, and obtain independent review before close release.</w:t>
      </w:r>
    </w:p>
    <w:p>
      <w:pPr>
        <w:pStyle w:val="Heading1"/>
      </w:pPr>
      <w:r>
        <w:t>Procedures performed</w:t>
      </w:r>
    </w:p>
    <w:p>
      <w:r>
        <w:t>Inspected the synthetic bank confirmation, recalculated the March bridge, agreed each driver to the cash-variance evidence, and confirmed reviewer outcomes in the evidence index.</w:t>
      </w:r>
    </w:p>
    <w:p>
      <w:pPr>
        <w:pStyle w:val="Heading1"/>
      </w:pPr>
      <w:r>
        <w:t>Result</w:t>
      </w:r>
    </w:p>
    <w:p>
      <w:r>
        <w:t>Effective. Ledger cash of JPY 498,600,000 exceeds bank cash of JPY 486,200,000 by JPY 12,400,000. The difference is fully explained by receipt timing JPY 7,200,000, vendor timing JPY 3,100,000, fees JPY 1,300,000, and FX JPY 800,000.</w:t>
      </w:r>
    </w:p>
    <w:p>
      <w:pPr>
        <w:pStyle w:val="Heading1"/>
      </w:pPr>
      <w:r>
        <w:t>Conclusion</w:t>
      </w:r>
    </w:p>
    <w:p>
      <w:r>
        <w:t>No exception was identified in the synthetic Q1 evidence set. Reviewer outcome: Accepted. This memo is synthetic and contains no external records or personal data.</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Evidence ID</w:t>
            </w:r>
          </w:p>
        </w:tc>
        <w:tc>
          <w:tcPr>
            <w:tcW w:type="dxa" w:w="2484"/>
          </w:tcPr>
          <w:p>
            <w:r>
              <w:t>Control ID</w:t>
            </w:r>
          </w:p>
        </w:tc>
        <w:tc>
          <w:tcPr>
            <w:tcW w:type="dxa" w:w="2484"/>
          </w:tcPr>
          <w:p>
            <w:r>
              <w:t>Owner role</w:t>
            </w:r>
          </w:p>
        </w:tc>
        <w:tc>
          <w:tcPr>
            <w:tcW w:type="dxa" w:w="2484"/>
          </w:tcPr>
          <w:p>
            <w:r>
              <w:t>Reviewer outcome</w:t>
            </w:r>
          </w:p>
        </w:tc>
      </w:tr>
      <w:tr>
        <w:tc>
          <w:tcPr>
            <w:tcW w:type="dxa" w:w="2484"/>
            <w:vAlign w:val="center"/>
          </w:tcPr>
          <w:p>
            <w:r>
              <w:t>CW-EV-2603-04</w:t>
            </w:r>
          </w:p>
        </w:tc>
        <w:tc>
          <w:tcPr>
            <w:tcW w:type="dxa" w:w="2484"/>
            <w:vAlign w:val="center"/>
          </w:tcPr>
          <w:p>
            <w:r>
              <w:t>CTRL-CASH-01</w:t>
            </w:r>
          </w:p>
        </w:tc>
        <w:tc>
          <w:tcPr>
            <w:tcW w:type="dxa" w:w="2484"/>
            <w:vAlign w:val="center"/>
          </w:tcPr>
          <w:p>
            <w:r>
              <w:t>Treasury Operations</w:t>
            </w:r>
          </w:p>
        </w:tc>
        <w:tc>
          <w:tcPr>
            <w:tcW w:type="dxa" w:w="2484"/>
            <w:vAlign w:val="center"/>
          </w:tcPr>
          <w:p>
            <w:r>
              <w:t>Accepted</w:t>
            </w:r>
          </w:p>
        </w:tc>
      </w:tr>
      <w:tr>
        <w:tc>
          <w:tcPr>
            <w:tcW w:type="dxa" w:w="2484"/>
            <w:vAlign w:val="center"/>
          </w:tcPr>
          <w:p>
            <w:r>
              <w:t>CW-EV-2603-05</w:t>
            </w:r>
          </w:p>
        </w:tc>
        <w:tc>
          <w:tcPr>
            <w:tcW w:type="dxa" w:w="2484"/>
            <w:vAlign w:val="center"/>
          </w:tcPr>
          <w:p>
            <w:r>
              <w:t>CTRL-CASH-01</w:t>
            </w:r>
          </w:p>
        </w:tc>
        <w:tc>
          <w:tcPr>
            <w:tcW w:type="dxa" w:w="2484"/>
            <w:vAlign w:val="center"/>
          </w:tcPr>
          <w:p>
            <w:r>
              <w:t>Financial Control</w:t>
            </w:r>
          </w:p>
        </w:tc>
        <w:tc>
          <w:tcPr>
            <w:tcW w:type="dxa" w:w="2484"/>
            <w:vAlign w:val="center"/>
          </w:tcPr>
          <w:p>
            <w:r>
              <w:t>Accepted</w:t>
            </w:r>
          </w:p>
        </w:tc>
      </w:tr>
      <w:tr>
        <w:tc>
          <w:tcPr>
            <w:tcW w:type="dxa" w:w="2484"/>
            <w:vAlign w:val="center"/>
          </w:tcPr>
          <w:p>
            <w:r>
              <w:t>CW-EV-2603-09</w:t>
            </w:r>
          </w:p>
        </w:tc>
        <w:tc>
          <w:tcPr>
            <w:tcW w:type="dxa" w:w="2484"/>
            <w:vAlign w:val="center"/>
          </w:tcPr>
          <w:p>
            <w:r>
              <w:t>CTRL-CASH-01</w:t>
            </w:r>
          </w:p>
        </w:tc>
        <w:tc>
          <w:tcPr>
            <w:tcW w:type="dxa" w:w="2484"/>
            <w:vAlign w:val="center"/>
          </w:tcPr>
          <w:p>
            <w:r>
              <w:t>Financial Control</w:t>
            </w:r>
          </w:p>
        </w:tc>
        <w:tc>
          <w:tcPr>
            <w:tcW w:type="dxa" w:w="2484"/>
            <w:vAlign w:val="center"/>
          </w:tcPr>
          <w:p>
            <w:r>
              <w:t>Accepted</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Cedar Works | FY2026 Q1 | SYNTHETIC AUDIT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