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53B5B"/>
          <w:sz w:val="42"/>
          <w:szCs w:val="42"/>
        </w:rPr>
        <w:t xml:space="preserve">Cedar Works</w:t>
      </w:r>
    </w:p>
    <w:p>
      <w:pPr>
        <w:spacing w:after="120"/>
      </w:pPr>
      <w:r>
        <w:rPr>
          <w:b/>
          <w:bCs/>
          <w:color w:val="17212B"/>
          <w:sz w:val="34"/>
          <w:szCs w:val="34"/>
        </w:rPr>
        <w:t xml:space="preserve">Board Finance Pack — Speaker Notes</w:t>
      </w:r>
    </w:p>
    <w:p>
      <w:pPr>
        <w:spacing w:after="280"/>
      </w:pPr>
      <w:r>
        <w:rPr>
          <w:color w:val="50606D"/>
          <w:sz w:val="20"/>
          <w:szCs w:val="20"/>
        </w:rPr>
        <w:t xml:space="preserve">FY2026 Q1 / March 2026 close | Synthetic management package</w:t>
      </w:r>
    </w:p>
    <w:p>
      <w:pPr>
        <w:pStyle w:val="Heading1"/>
      </w:pPr>
      <w:r>
        <w:t xml:space="preserve">Opening</w:t>
      </w:r>
    </w:p>
    <w:p>
      <w:r>
        <w:t xml:space="preserve">Q1 revenue closed at JPY 1,842m against a JPY 1,800m budget, and EBITDA closed at JPY 222m against a JPY 210m budget. The decision today is to confirm the FY2026 base case and the cash-control actions that protect it.</w:t>
      </w:r>
    </w:p>
    <w:p>
      <w:pPr>
        <w:pStyle w:val="Heading1"/>
      </w:pPr>
      <w:r>
        <w:t xml:space="preserve">Cash reconciliation</w:t>
      </w:r>
    </w:p>
    <w:p>
      <w:r>
        <w:t xml:space="preserve">March bank cash of JPY 486.2m is JPY 12.4m below the JPY 498.6m ledger balance. The full bridge is receipt timing JPY 7.2m, vendor timing JPY 3.1m, fees JPY 1.3m and FX JPY 0.8m. Ask the Board to ratify the reconciliation and retain a weekly Treasury review.</w:t>
      </w:r>
    </w:p>
    <w:p>
      <w:pPr>
        <w:pStyle w:val="Heading1"/>
      </w:pPr>
      <w:r>
        <w:t xml:space="preserve">Forecast and margin</w:t>
      </w:r>
    </w:p>
    <w:p>
      <w:r>
        <w:t xml:space="preserve">The FY2026 base case is JPY 7,560m revenue and JPY 900m EBITDA; downside is JPY 7,050m and JPY 720m; upside is JPY 7,920m and JPY 1,020m. Q1 gross profit is JPY 711m, a 38.6% margin. The operating plan should remain the base case with a downside trigger at JPY 300m ending cash.</w:t>
      </w:r>
    </w:p>
    <w:p>
      <w:pPr>
        <w:pStyle w:val="Heading1"/>
      </w:pPr>
      <w:r>
        <w:t xml:space="preserve">Working capital and close</w:t>
      </w:r>
    </w:p>
    <w:p>
      <w:r>
        <w:t xml:space="preserve">Closing balances are AR JPY 312m, inventory JPY 418m and AP JPY 226m. Endorse a Q2 cash-conversion cadence: receivable exception resolution, demand-led replenishment and supplier-term protection. Close with the three decisions: approve base case, ratify cash reconciliation, endorse the cadence.</w:t>
      </w:r>
    </w:p>
    <w:p>
      <w:pPr>
        <w:pStyle w:val="Heading1"/>
      </w:pPr>
      <w:r>
        <w:t xml:space="preserve">Source and control note</w:t>
      </w:r>
    </w:p>
    <w:p>
      <w:r>
        <w:t xml:space="preserve">All figures are synthetic Cedar Works management data and tie to board-kpi-sourcebook.xlsx. No external sources, personal data, accounts or tax information are used.</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2026-08-23T18:50:24.981Z</dcterms:created>
  <dcterms:modified xsi:type="dcterms:W3CDTF">2026-08-23T18:50:24.984Z</dcterms:modified>
</cp:coreProperties>
</file>

<file path=docProps/custom.xml><?xml version="1.0" encoding="utf-8"?>
<Properties xmlns="http://schemas.openxmlformats.org/officeDocument/2006/custom-properties" xmlns:vt="http://schemas.openxmlformats.org/officeDocument/2006/docPropsVTypes"/>
</file>