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Cedar Works FY2026 Annual Budget Approval Memo</w:t>
      </w:r>
    </w:p>
    <w:bookmarkStart w:id="12" w:name="decision-requested"/>
    <w:p>
      <w:pPr>
        <w:pStyle w:val="Heading1"/>
      </w:pPr>
      <w:r>
        <w:t xml:space="preserve">Decision requested</w:t>
      </w:r>
    </w:p>
    <w:p>
      <w:pPr>
        <w:pStyle w:val="FirstParagraph"/>
      </w:pPr>
      <w:r>
        <w:t xml:space="preserve">Approve FY2026 baseline revenue of</w:t>
      </w:r>
      <w:r>
        <w:t xml:space="preserve"> </w:t>
      </w:r>
      <w:r>
        <w:rPr>
          <w:b/>
          <w:bCs/>
        </w:rPr>
        <w:t xml:space="preserve">JPY 7,400m</w:t>
      </w:r>
      <w:r>
        <w:t xml:space="preserve"> </w:t>
      </w:r>
      <w:r>
        <w:t xml:space="preserve">and EBITDA of</w:t>
      </w:r>
      <w:r>
        <w:t xml:space="preserve"> </w:t>
      </w:r>
      <w:r>
        <w:rPr>
          <w:b/>
          <w:bCs/>
        </w:rPr>
        <w:t xml:space="preserve">JPY 860m</w:t>
      </w:r>
      <w:r>
        <w:t xml:space="preserve">. The base forecast is JPY 7,560m revenue and JPY 900m EBITDA after Q1 performance.</w:t>
      </w:r>
    </w:p>
    <w:bookmarkStart w:id="9" w:name="q1-context"/>
    <w:p>
      <w:pPr>
        <w:pStyle w:val="Heading2"/>
      </w:pPr>
      <w:r>
        <w:t xml:space="preserve">Q1 context</w:t>
      </w:r>
    </w:p>
    <w:p>
      <w:pPr>
        <w:pStyle w:val="FirstParagraph"/>
      </w:pPr>
      <w:r>
        <w:t xml:space="preserve">Q1 actual revenue was JPY 1,842m against JPY 1,800m budget. Q1 actual EBITDA was JPY 222m against JPY 210m budget. The outlook retains disciplined operating expense controls while directing incremental capacity to Operations, Engineering and Sales.</w:t>
      </w:r>
    </w:p>
    <w:bookmarkEnd w:id="9"/>
    <w:bookmarkStart w:id="10" w:name="cash-and-controls"/>
    <w:p>
      <w:pPr>
        <w:pStyle w:val="Heading2"/>
      </w:pPr>
      <w:r>
        <w:t xml:space="preserve">Cash and controls</w:t>
      </w:r>
    </w:p>
    <w:p>
      <w:pPr>
        <w:pStyle w:val="FirstParagraph"/>
      </w:pPr>
      <w:r>
        <w:t xml:space="preserve">March cash is JPY 12.4m unfavorable: bank JPY 486.2m versus ledger JPY 498.6m. The reconciliation queue includes a JPY 7.2m receipt, JPY 3.1m vendor item, JPY 1.3m fees and JPY 0.8m FX item. Treasury will clear and evidence those items before sign-off.</w:t>
      </w:r>
    </w:p>
    <w:bookmarkEnd w:id="10"/>
    <w:bookmarkStart w:id="11" w:name="approval-path"/>
    <w:p>
      <w:pPr>
        <w:pStyle w:val="Heading2"/>
      </w:pPr>
      <w:r>
        <w:t xml:space="preserve">Approval path</w:t>
      </w:r>
    </w:p>
    <w:p>
      <w:pPr>
        <w:pStyle w:val="FirstParagraph"/>
      </w:pPr>
      <w:r>
        <w:t xml:space="preserve">Finance Controller prepares and validates the model; department owners approve their allocations; Treasury confirms the cash reconciliation; CFO provides final approval. All figures are synthetic Cedar Works planning data.</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Cedar Works FY2026 Annual Budget Approval Memo</dc:title>
  <dc:creator/>
  <cp:keywords/>
  <dcterms:created xsi:type="dcterms:W3CDTF">2026-08-23T18:48:30Z</dcterms:created>
  <dcterms:modified xsi:type="dcterms:W3CDTF">2026-08-23T18:48:30Z</dcterms:modified>
</cp:coreProperties>
</file>

<file path=docProps/custom.xml><?xml version="1.0" encoding="utf-8"?>
<Properties xmlns="http://schemas.openxmlformats.org/officeDocument/2006/custom-properties" xmlns:vt="http://schemas.openxmlformats.org/officeDocument/2006/docPropsVTypes"/>
</file>