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Cedar Works FY2026 Budget Governance Guide</w:t>
      </w:r>
    </w:p>
    <w:bookmarkStart w:id="13" w:name="purpose"/>
    <w:p>
      <w:pPr>
        <w:pStyle w:val="Heading1"/>
      </w:pPr>
      <w:r>
        <w:t xml:space="preserve">Purpose</w:t>
      </w:r>
    </w:p>
    <w:p>
      <w:pPr>
        <w:pStyle w:val="FirstParagraph"/>
      </w:pPr>
      <w:r>
        <w:t xml:space="preserve">This guide governs the FY2026 annual budget, version 1.0, and its controlled updates.</w:t>
      </w:r>
    </w:p>
    <w:bookmarkStart w:id="9" w:name="roles"/>
    <w:p>
      <w:pPr>
        <w:pStyle w:val="Heading2"/>
      </w:pPr>
      <w:r>
        <w:t xml:space="preserve">Roles</w:t>
      </w:r>
    </w:p>
    <w:p>
      <w:pPr>
        <w:pStyle w:val="FirstParagraph"/>
      </w:pPr>
      <w:r>
        <w:t xml:space="preserve">Finance Controller owns the calendar, model integrity, and control log. Department owners certify their cost-center submissions. Treasury owns bank-to-ledger reconciliation. The CFO approves baseline and material reforecasts.</w:t>
      </w:r>
    </w:p>
    <w:bookmarkEnd w:id="9"/>
    <w:bookmarkStart w:id="10" w:name="version-and-change-control"/>
    <w:p>
      <w:pPr>
        <w:pStyle w:val="Heading2"/>
      </w:pPr>
      <w:r>
        <w:t xml:space="preserve">Version and change control</w:t>
      </w:r>
    </w:p>
    <w:p>
      <w:pPr>
        <w:pStyle w:val="FirstParagraph"/>
      </w:pPr>
      <w:r>
        <w:t xml:space="preserve">Changes require a reason, owner, effective month, impact on revenue, EBITDA, cash, and approval evidence. Finance maintains the master workbook and publishes only approved cost-center uploads. A change above JPY 10m or one that alters an annual target requires CFO approval.</w:t>
      </w:r>
    </w:p>
    <w:bookmarkEnd w:id="10"/>
    <w:bookmarkStart w:id="11" w:name="controls"/>
    <w:p>
      <w:pPr>
        <w:pStyle w:val="Heading2"/>
      </w:pPr>
      <w:r>
        <w:t xml:space="preserve">Controls</w:t>
      </w:r>
    </w:p>
    <w:p>
      <w:pPr>
        <w:pStyle w:val="FirstParagraph"/>
      </w:pPr>
      <w:r>
        <w:t xml:space="preserve">The model must reconcile monthly detail to the annual baseline. Inputs are editable blue cells, formulas are black, and internal workbook links are green. Checks must show PASS before distribution.</w:t>
      </w:r>
    </w:p>
    <w:bookmarkEnd w:id="11"/>
    <w:bookmarkStart w:id="12" w:name="retention"/>
    <w:p>
      <w:pPr>
        <w:pStyle w:val="Heading2"/>
      </w:pPr>
      <w:r>
        <w:t xml:space="preserve">Retention</w:t>
      </w:r>
    </w:p>
    <w:p>
      <w:pPr>
        <w:pStyle w:val="FirstParagraph"/>
      </w:pPr>
      <w:r>
        <w:t xml:space="preserve">Keep approved versions, assumptions, allocation uploads and sign-off records together in the budget annual folder.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Cedar Works FY2026 Budget Governance Guide</dc:title>
  <dc:creator/>
  <cp:keywords/>
  <dcterms:created xsi:type="dcterms:W3CDTF">2026-08-23T18:48:30Z</dcterms:created>
  <dcterms:modified xsi:type="dcterms:W3CDTF">2026-08-23T18:48:30Z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