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65D"/>
          <w:sz w:val="44"/>
        </w:rPr>
        <w:t>Cash variance talking points</w:t>
      </w:r>
    </w:p>
    <w:p>
      <w:pPr>
        <w:spacing w:after="200"/>
      </w:pPr>
      <w:r>
        <w:rPr>
          <w:i/>
          <w:color w:val="596370"/>
          <w:sz w:val="20"/>
        </w:rPr>
        <w:t>FY2026 Q1 / March close  •  Status as of 2026-04-06  •  JPY millions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2CC"/>
            <w:tcBorders>
              <w:top w:val="single" w:sz="6" w:color="C9B458"/>
              <w:left w:val="single" w:sz="6" w:color="C9B458"/>
              <w:bottom w:val="single" w:sz="6" w:color="C9B458"/>
              <w:right w:val="single" w:sz="6" w:color="C9B45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1"/>
              </w:rPr>
              <w:t>Headline: bank cash is JPY 486.2m versus ledger cash of JPY 498.6m. The JPY 12.4m unfavorable variance is fully bridged; it is not an unquantified loss.</w:t>
            </w:r>
          </w:p>
        </w:tc>
      </w:tr>
    </w:tbl>
    <w:p>
      <w:pPr>
        <w:pStyle w:val="Heading1"/>
      </w:pPr>
      <w:r>
        <w:t>What to say in the review</w:t>
      </w:r>
    </w:p>
    <w:p>
      <w:pPr>
        <w:pStyle w:val="ListBullet"/>
        <w:spacing w:after="60"/>
      </w:pPr>
      <w:r>
        <w:t>The close anchor remains intact: Q1 revenue is JPY 1,842.0m and EBITDA is JPY 222.0m.</w:t>
      </w:r>
    </w:p>
    <w:p>
      <w:pPr>
        <w:pStyle w:val="ListBullet"/>
        <w:spacing w:after="60"/>
      </w:pPr>
      <w:r>
        <w:t>Cash is lower on the bank statement than in the ledger by JPY 12.4m. The bridge reconciles exactly to this amount.</w:t>
      </w:r>
    </w:p>
    <w:p>
      <w:pPr>
        <w:pStyle w:val="ListBullet"/>
        <w:spacing w:after="60"/>
      </w:pPr>
      <w:r>
        <w:t>Treat JPY 10.3m as timing: JPY 7.2m payment clearing and JPY 3.1m inbound settlement clearing. These reverse as the underlying bank and receivable items clear.</w:t>
      </w:r>
    </w:p>
    <w:p>
      <w:pPr>
        <w:pStyle w:val="ListBullet"/>
        <w:spacing w:after="60"/>
      </w:pPr>
      <w:r>
        <w:t>Treat JPY 2.1m as permanent correction: JPY 1.3m posting cut-off and JPY 0.8m classification adjustment. These require booked and documented corrective action, not an expectation of automatic reversal.</w:t>
      </w:r>
    </w:p>
    <w:p>
      <w:pPr>
        <w:pStyle w:val="Heading1"/>
      </w:pPr>
      <w:r>
        <w:t>Bridge and accountable next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70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128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JPY m</w:t>
            </w:r>
          </w:p>
        </w:tc>
        <w:tc>
          <w:tcPr>
            <w:tcW w:type="dxa" w:w="302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Treatment</w:t>
            </w:r>
          </w:p>
        </w:tc>
        <w:tc>
          <w:tcPr>
            <w:tcW w:type="dxa" w:w="212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 owner</w:t>
            </w:r>
          </w:p>
        </w:tc>
      </w:tr>
      <w:tr>
        <w:tc>
          <w:tcPr>
            <w:tcW w:type="dxa" w:w="270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Payment timing</w:t>
            </w:r>
          </w:p>
        </w:tc>
        <w:tc>
          <w:tcPr>
            <w:tcW w:type="dxa" w:w="128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7.2</w:t>
            </w:r>
          </w:p>
        </w:tc>
        <w:tc>
          <w:tcPr>
            <w:tcW w:type="dxa" w:w="30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Timing — confirm next clearing cycle</w:t>
            </w:r>
          </w:p>
        </w:tc>
        <w:tc>
          <w:tcPr>
            <w:tcW w:type="dxa" w:w="21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Treasury</w:t>
            </w:r>
          </w:p>
        </w:tc>
      </w:tr>
      <w:tr>
        <w:tc>
          <w:tcPr>
            <w:tcW w:type="dxa" w:w="270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Inbound settlement timing</w:t>
            </w:r>
          </w:p>
        </w:tc>
        <w:tc>
          <w:tcPr>
            <w:tcW w:type="dxa" w:w="128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3.1</w:t>
            </w:r>
          </w:p>
        </w:tc>
        <w:tc>
          <w:tcPr>
            <w:tcW w:type="dxa" w:w="30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Timing — match to receivable clearing</w:t>
            </w:r>
          </w:p>
        </w:tc>
        <w:tc>
          <w:tcPr>
            <w:tcW w:type="dxa" w:w="21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 lead</w:t>
            </w:r>
          </w:p>
        </w:tc>
      </w:tr>
      <w:tr>
        <w:tc>
          <w:tcPr>
            <w:tcW w:type="dxa" w:w="270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Posting cut-off</w:t>
            </w:r>
          </w:p>
        </w:tc>
        <w:tc>
          <w:tcPr>
            <w:tcW w:type="dxa" w:w="128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1.3</w:t>
            </w:r>
          </w:p>
        </w:tc>
        <w:tc>
          <w:tcPr>
            <w:tcW w:type="dxa" w:w="30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Permanent — book correcting entry</w:t>
            </w:r>
          </w:p>
        </w:tc>
        <w:tc>
          <w:tcPr>
            <w:tcW w:type="dxa" w:w="21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Accounting</w:t>
            </w:r>
          </w:p>
        </w:tc>
      </w:tr>
      <w:tr>
        <w:tc>
          <w:tcPr>
            <w:tcW w:type="dxa" w:w="270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Classification adjustment</w:t>
            </w:r>
          </w:p>
        </w:tc>
        <w:tc>
          <w:tcPr>
            <w:tcW w:type="dxa" w:w="128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0.8</w:t>
            </w:r>
          </w:p>
        </w:tc>
        <w:tc>
          <w:tcPr>
            <w:tcW w:type="dxa" w:w="30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Permanent — reclass cash activity</w:t>
            </w:r>
          </w:p>
        </w:tc>
        <w:tc>
          <w:tcPr>
            <w:tcW w:type="dxa" w:w="21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FP&amp;A</w:t>
            </w:r>
          </w:p>
        </w:tc>
      </w:tr>
      <w:tr>
        <w:tc>
          <w:tcPr>
            <w:tcW w:type="dxa" w:w="270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8"/>
              </w:rPr>
              <w:t>Total bridged variance</w:t>
            </w:r>
          </w:p>
        </w:tc>
        <w:tc>
          <w:tcPr>
            <w:tcW w:type="dxa" w:w="128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8"/>
              </w:rPr>
              <w:t>12.4</w:t>
            </w:r>
          </w:p>
        </w:tc>
        <w:tc>
          <w:tcPr>
            <w:tcW w:type="dxa" w:w="30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8"/>
              </w:rPr>
              <w:t>Fully reconciled</w:t>
            </w:r>
          </w:p>
        </w:tc>
        <w:tc>
          <w:tcPr>
            <w:tcW w:type="dxa" w:w="21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8"/>
              </w:rPr>
              <w:t>Controller</w:t>
            </w:r>
          </w:p>
        </w:tc>
      </w:tr>
    </w:tbl>
    <w:p>
      <w:pPr>
        <w:pStyle w:val="Heading1"/>
      </w:pPr>
      <w:r>
        <w:t>Close guardrails</w:t>
      </w:r>
    </w:p>
    <w:p>
      <w:r>
        <w:rPr>
          <w:b/>
        </w:rPr>
        <w:t xml:space="preserve">Decision posture. </w:t>
      </w:r>
      <w:r>
        <w:t>Do not characterize timing items as permanent cash loss. Do not defer the JPY 2.1m correction items: Accounting and FP&amp;A should retain journal and mapping support with the close package.</w:t>
      </w:r>
    </w:p>
    <w:p>
      <w:r>
        <w:rPr>
          <w:b/>
        </w:rPr>
        <w:t xml:space="preserve">Escalate if. </w:t>
      </w:r>
      <w:r>
        <w:t>Any timing item does not clear by the next scheduled cycle, the bank total changes, or a correcting entry changes the JPY 12.4m bridge. Treasury owns daily clearing follow-up; Accounting owns cut-off evidence; FP&amp;A owns classification support; the Controller owns final close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Internal working note  •  Synthetic Cedar Works close materials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6"/>
      </w:rPr>
      <w:t>CEDAR WORKS  |  CONTROLLER CLOSE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