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6"/>
        </w:rPr>
        <w:t>Chart of Accounts Reference</w:t>
      </w:r>
    </w:p>
    <w:p>
      <w:pPr>
        <w:spacing w:after="280"/>
      </w:pPr>
      <w:r>
        <w:rPr>
          <w:rFonts w:ascii="Calibri" w:hAnsi="Calibri"/>
          <w:b w:val="0"/>
          <w:color w:val="5D6D7A"/>
          <w:sz w:val="21"/>
        </w:rPr>
        <w:t>FY2026 Q1 • Operating reference for close preparation and review</w:t>
      </w:r>
    </w:p>
    <w:p>
      <w:r>
        <w:rPr>
          <w:rFonts w:ascii="Calibri" w:hAnsi="Calibri"/>
          <w:b/>
          <w:color w:val="1F4D78"/>
          <w:sz w:val="22"/>
        </w:rPr>
        <w:t xml:space="preserve">Purpose. </w:t>
      </w:r>
      <w:r>
        <w:rPr>
          <w:rFonts w:ascii="Calibri" w:hAnsi="Calibri"/>
          <w:b w:val="0"/>
          <w:color w:val="1B2A38"/>
          <w:sz w:val="22"/>
        </w:rPr>
        <w:t>This synthetic Cedar Works internal reference defines the minimum account mapping used in the FY2026 Q1 close. It is not external accounting guidance.</w:t>
      </w:r>
    </w:p>
    <w:p>
      <w:pPr>
        <w:pStyle w:val="Heading1"/>
      </w:pPr>
      <w:r>
        <w:t>Required account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700"/>
        <w:gridCol w:w="900"/>
        <w:gridCol w:w="3300"/>
        <w:gridCol w:w="26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Name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Class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Default cost center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1000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Cash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Asset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Bank and controlled cash balances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Treasury / FIN-100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1100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Accounts Receivable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Asset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Approved customer receivables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Commercial / COM-310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1300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Inventory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Asset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Controlled inventory on hand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Operations / OPS-210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2000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Accounts Payable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Liability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Approved supplier obligations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Operations / OPS-210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4000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Revenue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Income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Completed, supported delivery milestones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Commercial / COM-310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5000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COGS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Expense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Direct delivered inventory and service cost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Operations / OPS-210</w:t>
            </w:r>
          </w:p>
        </w:tc>
      </w:tr>
    </w:tbl>
    <w:p>
      <w:pPr>
        <w:spacing w:after="40"/>
      </w:pPr>
    </w:p>
    <w:p>
      <w:pPr>
        <w:pStyle w:val="Heading1"/>
      </w:pPr>
      <w:r>
        <w:t>Coding rules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Use account 4000 only after the Cedar Works internal revenue trigger is evidenced and the posting date reflects supported cutoff.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Use account 5000 in the same period as the related delivered inventory or service cost; investigate margin mismatches with COM-310 and OPS-210.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Use 1000 only for controlled cash records. Each month must include a bank-to-ledger reconciliation and documented open bridge.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Use 1100 and 2000 with an approved source reference and a cost center where the underlying activity is operational.</w:t>
      </w:r>
    </w:p>
    <w:p>
      <w:r>
        <w:br w:type="page"/>
      </w:r>
    </w:p>
    <w:p>
      <w:pPr>
        <w:pStyle w:val="Heading1"/>
      </w:pPr>
      <w:r>
        <w:t>Close review cues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Review point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evidence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Revenue cutoff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Completion evidence, approved commercial record, posting date, account 4000, and independent review.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Payables / COGS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Supplier support or accrual rationale, account 2000 or 5000, OPS-210, and reversal plan when estimated.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Cash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Reconciliation to account 1000; March anchor is JPY 486.2m bank vs JPY 498.6m ledger.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CONTROL NOTE  </w:t>
            </w:r>
            <w:r>
              <w:rPr>
                <w:rFonts w:ascii="Calibri" w:hAnsi="Calibri"/>
                <w:b w:val="0"/>
                <w:color w:val="1B2A38"/>
                <w:sz w:val="19"/>
              </w:rPr>
              <w:t>The March cash difference of JPY 12.4m unfavorable is escalated under the internal materiality rules and must retain its bridge support.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D6D7A"/>
        <w:sz w:val="17"/>
      </w:rPr>
      <w:t>FY2026 Q1  •  Controllership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D7A"/>
        <w:sz w:val="17"/>
      </w:rPr>
      <w:t>CEDAR WORKS  |  SYNTHETIC INTERNAL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 of Accounts Reference</dc:title>
  <dc:subject/>
  <dc:creator>Cedar Works</dc:creator>
  <cp:keywords/>
  <dc:description>generated by python-docx</dc:description>
  <cp:lastModifiedBy>Cedar Works</cp:lastModifiedBy>
  <cp:revision>1</cp:revision>
  <dcterms:created xsi:type="dcterms:W3CDTF">2013-12-23T23:15:00Z</dcterms:created>
  <dcterms:modified xsi:type="dcterms:W3CDTF">2013-12-23T23:15:00Z</dcterms:modified>
  <cp:category/>
</cp:coreProperties>
</file>