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7365D"/>
          <w:sz w:val="44"/>
        </w:rPr>
        <w:t>DEPARTMENT EXPENSE REVIEW MEMO</w:t>
      </w:r>
    </w:p>
    <w:p>
      <w:pPr>
        <w:spacing w:after="40"/>
      </w:pPr>
      <w:r>
        <w:rPr>
          <w:b/>
        </w:rPr>
        <w:t xml:space="preserve">To: </w:t>
      </w:r>
      <w:r>
        <w:t>Cedar Works Executive Team</w:t>
      </w:r>
    </w:p>
    <w:p>
      <w:pPr>
        <w:spacing w:after="40"/>
      </w:pPr>
      <w:r>
        <w:rPr>
          <w:b/>
        </w:rPr>
        <w:t xml:space="preserve">From: </w:t>
      </w:r>
      <w:r>
        <w:t>Finance Controller</w:t>
      </w:r>
    </w:p>
    <w:p>
      <w:pPr>
        <w:spacing w:after="40"/>
      </w:pPr>
      <w:r>
        <w:rPr>
          <w:b/>
        </w:rPr>
        <w:t xml:space="preserve">Date: </w:t>
      </w:r>
      <w:r>
        <w:t>2026-04-03</w:t>
      </w:r>
    </w:p>
    <w:p>
      <w:pPr>
        <w:spacing w:after="40"/>
      </w:pPr>
      <w:r>
        <w:rPr>
          <w:b/>
        </w:rPr>
        <w:t xml:space="preserve">Subject: </w:t>
      </w:r>
      <w:r>
        <w:t>FY2026 Q1 department expenses and exception actions</w:t>
      </w:r>
    </w:p>
    <w:p>
      <w:pPr>
        <w:pStyle w:val="Heading1"/>
      </w:pPr>
      <w:r>
        <w:t>Decision summary</w:t>
      </w:r>
    </w:p>
    <w:p>
      <w:r>
        <w:t>Q1 department expenses total JPY 9,340,000 versus JPY 8,550,000 of row-level budget, a JPY 790,000 unfavorable variance. Four pending March approvals require resolution before the April close review.</w:t>
      </w:r>
    </w:p>
    <w:p>
      <w:pPr/>
      <w:r>
        <w:t>The March cash variance of JPY 12,400,000 unfavorable remains a separate cash-management indicator. It is not used as a target for expense-record adjustment.</w:t>
      </w:r>
    </w:p>
    <w:p>
      <w:pPr>
        <w:pStyle w:val="Heading1"/>
      </w:pPr>
      <w:r>
        <w:t>Variance and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Owner</w:t>
            </w:r>
          </w:p>
        </w:tc>
        <w:tc>
          <w:tcPr>
            <w:tcW w:type="dxa" w:w="2340"/>
          </w:tcPr>
          <w:p>
            <w:r>
              <w:t>Control</w:t>
            </w:r>
          </w:p>
        </w:tc>
        <w:tc>
          <w:tcPr>
            <w:tcW w:type="dxa" w:w="2340"/>
          </w:tcPr>
          <w:p>
            <w:r>
              <w:t>Current observation</w:t>
            </w:r>
          </w:p>
        </w:tc>
        <w:tc>
          <w:tcPr>
            <w:tcW w:type="dxa" w:w="2340"/>
          </w:tcPr>
          <w:p>
            <w:r>
              <w:t>Next action</w:t>
            </w:r>
          </w:p>
        </w:tc>
      </w:tr>
      <w:tr>
        <w:tc>
          <w:tcPr>
            <w:tcW w:type="dxa" w:w="2340"/>
          </w:tcPr>
          <w:p>
            <w:r>
              <w:t>Finance Controller</w:t>
            </w:r>
          </w:p>
        </w:tc>
        <w:tc>
          <w:tcPr>
            <w:tcW w:type="dxa" w:w="2340"/>
          </w:tcPr>
          <w:p>
            <w:r>
              <w:t>CSV reconciliation</w:t>
            </w:r>
          </w:p>
        </w:tc>
        <w:tc>
          <w:tcPr>
            <w:tcW w:type="dxa" w:w="2340"/>
          </w:tcPr>
          <w:p>
            <w:r>
              <w:t>48 imported records; summary check required</w:t>
            </w:r>
          </w:p>
        </w:tc>
        <w:tc>
          <w:tcPr>
            <w:tcW w:type="dxa" w:w="2340"/>
          </w:tcPr>
          <w:p>
            <w:r>
              <w:t>Confirm check status at close</w:t>
            </w:r>
          </w:p>
        </w:tc>
      </w:tr>
      <w:tr>
        <w:tc>
          <w:tcPr>
            <w:tcW w:type="dxa" w:w="2340"/>
          </w:tcPr>
          <w:p>
            <w:r>
              <w:t>Department approvers</w:t>
            </w:r>
          </w:p>
        </w:tc>
        <w:tc>
          <w:tcPr>
            <w:tcW w:type="dxa" w:w="2340"/>
          </w:tcPr>
          <w:p>
            <w:r>
              <w:t>Approval routing</w:t>
            </w:r>
          </w:p>
        </w:tc>
        <w:tc>
          <w:tcPr>
            <w:tcW w:type="dxa" w:w="2340"/>
          </w:tcPr>
          <w:p>
            <w:r>
              <w:t>Four March records pending</w:t>
            </w:r>
          </w:p>
        </w:tc>
        <w:tc>
          <w:tcPr>
            <w:tcW w:type="dxa" w:w="2340"/>
          </w:tcPr>
          <w:p>
            <w:r>
              <w:t>Approve or return documentation</w:t>
            </w:r>
          </w:p>
        </w:tc>
      </w:tr>
      <w:tr>
        <w:tc>
          <w:tcPr>
            <w:tcW w:type="dxa" w:w="2340"/>
          </w:tcPr>
          <w:p>
            <w:r>
              <w:t>Sales Operations Lead</w:t>
            </w:r>
          </w:p>
        </w:tc>
        <w:tc>
          <w:tcPr>
            <w:tcW w:type="dxa" w:w="2340"/>
          </w:tcPr>
          <w:p>
            <w:r>
              <w:t>T&amp;E review</w:t>
            </w:r>
          </w:p>
        </w:tc>
        <w:tc>
          <w:tcPr>
            <w:tcW w:type="dxa" w:w="2340"/>
          </w:tcPr>
          <w:p>
            <w:r>
              <w:t>Travel and meals require evidence review</w:t>
            </w:r>
          </w:p>
        </w:tc>
        <w:tc>
          <w:tcPr>
            <w:tcW w:type="dxa" w:w="2340"/>
          </w:tcPr>
          <w:p>
            <w:r>
              <w:t>Complete purpose/support review</w:t>
            </w:r>
          </w:p>
        </w:tc>
      </w:tr>
      <w:tr>
        <w:tc>
          <w:tcPr>
            <w:tcW w:type="dxa" w:w="2340"/>
          </w:tcPr>
          <w:p>
            <w:r>
              <w:t>Treasury Lead</w:t>
            </w:r>
          </w:p>
        </w:tc>
        <w:tc>
          <w:tcPr>
            <w:tcW w:type="dxa" w:w="2340"/>
          </w:tcPr>
          <w:p>
            <w:r>
              <w:t>Cash variance</w:t>
            </w:r>
          </w:p>
        </w:tc>
        <w:tc>
          <w:tcPr>
            <w:tcW w:type="dxa" w:w="2340"/>
          </w:tcPr>
          <w:p>
            <w:r>
              <w:t>JPY 12.4m unfavorable in March</w:t>
            </w:r>
          </w:p>
        </w:tc>
        <w:tc>
          <w:tcPr>
            <w:tcW w:type="dxa" w:w="2340"/>
          </w:tcPr>
          <w:p>
            <w:r>
              <w:t>Manage cash driver separately</w:t>
            </w:r>
          </w:p>
        </w:tc>
      </w:tr>
    </w:tbl>
    <w:p>
      <w:pPr>
        <w:pStyle w:val="Heading1"/>
      </w:pPr>
      <w:r>
        <w:t>Recommended close actions</w:t>
      </w:r>
    </w:p>
    <w:p>
      <w:pPr>
        <w:pStyle w:val="ListBullet"/>
      </w:pPr>
      <w:r>
        <w:t>Resolve all pending approvals and document any returned request.</w:t>
      </w:r>
    </w:p>
    <w:p>
      <w:pPr>
        <w:pStyle w:val="ListBullet"/>
      </w:pPr>
      <w:r>
        <w:t>Review unfavorable variance with expense owners by cost center.</w:t>
      </w:r>
    </w:p>
    <w:p>
      <w:pPr>
        <w:pStyle w:val="ListBullet"/>
      </w:pPr>
      <w:r>
        <w:t>Retain the summary workbook checks and T&amp;E review output with the close package.</w:t>
      </w:r>
    </w:p>
    <w:p>
      <w:pPr>
        <w:pStyle w:val="ListBullet"/>
      </w:pPr>
      <w:r>
        <w:t>Escalate only cash-related drivers through the Treasury Lead; do not recode expense records to fit the cash variance.</w:t>
      </w:r>
    </w:p>
    <w:p>
      <w:pPr>
        <w:pStyle w:val="Heading1"/>
      </w:pPr>
      <w:r>
        <w:t>Source boundary</w:t>
      </w:r>
    </w:p>
    <w:p>
      <w:r>
        <w:t>This memo uses only the synthetic Q1 departmental expense CSVs and their related workbook calculations. No real personal, payment, bank, tax, or credential data is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Internal working memo | FY2026 Q1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Cedar Works | Finance Controller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