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7365D"/>
          <w:sz w:val="44"/>
        </w:rPr>
        <w:t>January 2026 Close Review Memo</w:t>
      </w:r>
    </w:p>
    <w:p>
      <w:r>
        <w:rPr>
          <w:color w:val="595959"/>
          <w:sz w:val="22"/>
        </w:rPr>
        <w:t>Cedar Works | Finance Controller | 5 February 2026</w:t>
      </w:r>
    </w:p>
    <w:p>
      <w:pPr>
        <w:pStyle w:val="Heading1"/>
      </w:pPr>
      <w:r>
        <w:t>Executive conclusion</w:t>
      </w:r>
    </w:p>
    <w:p>
      <w:r>
        <w:t>January close was completed on schedule. Q1 performance is favorable to budget; March cash reconciliation remains a separately controlled timing bridge.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Q1 metric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Actual JPY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Budget JPY</w:t>
            </w:r>
          </w:p>
        </w:tc>
      </w:tr>
      <w:tr>
        <w:tc>
          <w:tcPr>
            <w:tcW w:type="dxa" w:w="3312"/>
            <w:vAlign w:val="center"/>
          </w:tcPr>
          <w:p>
            <w:r>
              <w:t>Revenue</w:t>
            </w:r>
          </w:p>
        </w:tc>
        <w:tc>
          <w:tcPr>
            <w:tcW w:type="dxa" w:w="3312"/>
            <w:vAlign w:val="center"/>
          </w:tcPr>
          <w:p>
            <w:r>
              <w:t>1,842,000,000</w:t>
            </w:r>
          </w:p>
        </w:tc>
        <w:tc>
          <w:tcPr>
            <w:tcW w:type="dxa" w:w="3312"/>
            <w:vAlign w:val="center"/>
          </w:tcPr>
          <w:p>
            <w:r>
              <w:t>1,800,000,000</w:t>
            </w:r>
          </w:p>
        </w:tc>
      </w:tr>
      <w:tr>
        <w:tc>
          <w:tcPr>
            <w:tcW w:type="dxa" w:w="3312"/>
            <w:vAlign w:val="center"/>
          </w:tcPr>
          <w:p>
            <w:r>
              <w:t>EBITDA</w:t>
            </w:r>
          </w:p>
        </w:tc>
        <w:tc>
          <w:tcPr>
            <w:tcW w:type="dxa" w:w="3312"/>
            <w:vAlign w:val="center"/>
          </w:tcPr>
          <w:p>
            <w:r>
              <w:t>222,000,000</w:t>
            </w:r>
          </w:p>
        </w:tc>
        <w:tc>
          <w:tcPr>
            <w:tcW w:type="dxa" w:w="3312"/>
            <w:vAlign w:val="center"/>
          </w:tcPr>
          <w:p>
            <w:r>
              <w:t>210,000,000</w:t>
            </w:r>
          </w:p>
        </w:tc>
      </w:tr>
    </w:tbl>
    <w:p>
      <w:pPr>
        <w:pStyle w:val="Heading1"/>
      </w:pPr>
      <w:r>
        <w:t>Cash bridge</w:t>
      </w:r>
    </w:p>
    <w:p>
      <w:r>
        <w:t>March bank cash of JPY 486,200,000 is JPY 12,400,000 below ledger cash of JPY 498,600,000. The difference consists of receipt timing, vendor timing, bank fees and FX.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JPY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Control action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Receipt timing</w:t>
            </w:r>
          </w:p>
        </w:tc>
        <w:tc>
          <w:tcPr>
            <w:tcW w:type="dxa" w:w="3312"/>
            <w:vAlign w:val="center"/>
          </w:tcPr>
          <w:p>
            <w:r>
              <w:t>7,200,000</w:t>
            </w:r>
          </w:p>
        </w:tc>
        <w:tc>
          <w:tcPr>
            <w:tcW w:type="dxa" w:w="3312"/>
            <w:vAlign w:val="center"/>
          </w:tcPr>
          <w:p>
            <w:r>
              <w:t>Clear subsequent receipt</w:t>
            </w:r>
          </w:p>
        </w:tc>
      </w:tr>
      <w:tr>
        <w:tc>
          <w:tcPr>
            <w:tcW w:type="dxa" w:w="3312"/>
            <w:vAlign w:val="center"/>
          </w:tcPr>
          <w:p>
            <w:r>
              <w:t>Vendor timing</w:t>
            </w:r>
          </w:p>
        </w:tc>
        <w:tc>
          <w:tcPr>
            <w:tcW w:type="dxa" w:w="3312"/>
            <w:vAlign w:val="center"/>
          </w:tcPr>
          <w:p>
            <w:r>
              <w:t>3,100,000</w:t>
            </w:r>
          </w:p>
        </w:tc>
        <w:tc>
          <w:tcPr>
            <w:tcW w:type="dxa" w:w="3312"/>
            <w:vAlign w:val="center"/>
          </w:tcPr>
          <w:p>
            <w:r>
              <w:t>Match payment file</w:t>
            </w:r>
          </w:p>
        </w:tc>
      </w:tr>
      <w:tr>
        <w:tc>
          <w:tcPr>
            <w:tcW w:type="dxa" w:w="3312"/>
            <w:vAlign w:val="center"/>
          </w:tcPr>
          <w:p>
            <w:r>
              <w:t>Bank fees</w:t>
            </w:r>
          </w:p>
        </w:tc>
        <w:tc>
          <w:tcPr>
            <w:tcW w:type="dxa" w:w="3312"/>
            <w:vAlign w:val="center"/>
          </w:tcPr>
          <w:p>
            <w:r>
              <w:t>1,300,000</w:t>
            </w:r>
          </w:p>
        </w:tc>
        <w:tc>
          <w:tcPr>
            <w:tcW w:type="dxa" w:w="3312"/>
            <w:vAlign w:val="center"/>
          </w:tcPr>
          <w:p>
            <w:r>
              <w:t>Post fee entry</w:t>
            </w:r>
          </w:p>
        </w:tc>
      </w:tr>
      <w:tr>
        <w:tc>
          <w:tcPr>
            <w:tcW w:type="dxa" w:w="3312"/>
            <w:vAlign w:val="center"/>
          </w:tcPr>
          <w:p>
            <w:r>
              <w:t>FX</w:t>
            </w:r>
          </w:p>
        </w:tc>
        <w:tc>
          <w:tcPr>
            <w:tcW w:type="dxa" w:w="3312"/>
            <w:vAlign w:val="center"/>
          </w:tcPr>
          <w:p>
            <w:r>
              <w:t>800,000</w:t>
            </w:r>
          </w:p>
        </w:tc>
        <w:tc>
          <w:tcPr>
            <w:tcW w:type="dxa" w:w="3312"/>
            <w:vAlign w:val="center"/>
          </w:tcPr>
          <w:p>
            <w:r>
              <w:t>Confirm remeasurement</w:t>
            </w:r>
          </w:p>
        </w:tc>
      </w:tr>
    </w:tbl>
    <w:p>
      <w:r>
        <w:rPr>
          <w:i/>
        </w:rPr>
        <w:t>Prepared from synthetic close records. Approval: Finance Controller role.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