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365D"/>
          <w:sz w:val="44"/>
        </w:rPr>
        <w:t>Controller Sign-off</w:t>
      </w:r>
    </w:p>
    <w:p>
      <w:r>
        <w:rPr>
          <w:color w:val="595959"/>
          <w:sz w:val="22"/>
        </w:rPr>
        <w:t>Cedar Works | January 2026 close | 5 February 2026</w:t>
      </w:r>
    </w:p>
    <w:p>
      <w:pPr>
        <w:pStyle w:val="Heading1"/>
      </w:pPr>
      <w:r>
        <w:t>Attestation</w:t>
      </w:r>
    </w:p>
    <w:p>
      <w:r>
        <w:t>I confirm that the January close package was reviewed for completeness, reconciliations, cutoff and role-based approvals. All records are synthetic and use JPY.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Review area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Approver role</w:t>
            </w:r>
          </w:p>
        </w:tc>
      </w:tr>
      <w:tr>
        <w:tc>
          <w:tcPr>
            <w:tcW w:type="dxa" w:w="3312"/>
            <w:vAlign w:val="center"/>
          </w:tcPr>
          <w:p>
            <w:r>
              <w:t>Trial balance and account reconciliations</w:t>
            </w:r>
          </w:p>
        </w:tc>
        <w:tc>
          <w:tcPr>
            <w:tcW w:type="dxa" w:w="3312"/>
            <w:vAlign w:val="center"/>
          </w:tcPr>
          <w:p>
            <w:r>
              <w:t>Complete</w:t>
            </w:r>
          </w:p>
        </w:tc>
        <w:tc>
          <w:tcPr>
            <w:tcW w:type="dxa" w:w="3312"/>
            <w:vAlign w:val="center"/>
          </w:tcPr>
          <w:p>
            <w:r>
              <w:t>Finance Controller</w:t>
            </w:r>
          </w:p>
        </w:tc>
      </w:tr>
      <w:tr>
        <w:tc>
          <w:tcPr>
            <w:tcW w:type="dxa" w:w="3312"/>
            <w:vAlign w:val="center"/>
          </w:tcPr>
          <w:p>
            <w:r>
              <w:t>AP accruals and fixed assets</w:t>
            </w:r>
          </w:p>
        </w:tc>
        <w:tc>
          <w:tcPr>
            <w:tcW w:type="dxa" w:w="3312"/>
            <w:vAlign w:val="center"/>
          </w:tcPr>
          <w:p>
            <w:r>
              <w:t>Complete</w:t>
            </w:r>
          </w:p>
        </w:tc>
        <w:tc>
          <w:tcPr>
            <w:tcW w:type="dxa" w:w="3312"/>
            <w:vAlign w:val="center"/>
          </w:tcPr>
          <w:p>
            <w:r>
              <w:t>Finance Controller</w:t>
            </w:r>
          </w:p>
        </w:tc>
      </w:tr>
      <w:tr>
        <w:tc>
          <w:tcPr>
            <w:tcW w:type="dxa" w:w="3312"/>
            <w:vAlign w:val="center"/>
          </w:tcPr>
          <w:p>
            <w:r>
              <w:t>Cash reconciliation follow-up</w:t>
            </w:r>
          </w:p>
        </w:tc>
        <w:tc>
          <w:tcPr>
            <w:tcW w:type="dxa" w:w="3312"/>
            <w:vAlign w:val="center"/>
          </w:tcPr>
          <w:p>
            <w:r>
              <w:t>Open March timing item</w:t>
            </w:r>
          </w:p>
        </w:tc>
        <w:tc>
          <w:tcPr>
            <w:tcW w:type="dxa" w:w="3312"/>
            <w:vAlign w:val="center"/>
          </w:tcPr>
          <w:p>
            <w:r>
              <w:t>Treasury Analyst</w:t>
            </w:r>
          </w:p>
        </w:tc>
      </w:tr>
    </w:tbl>
    <w:p>
      <w:pPr>
        <w:pStyle w:val="Heading1"/>
      </w:pPr>
      <w:r>
        <w:t>Open matter</w:t>
      </w:r>
    </w:p>
    <w:p>
      <w:r>
        <w:t>The March JPY 12,400,000 bank-to-ledger variance is documented and assigned for subsequent clearing; it does not change January close certification.</w:t>
      </w:r>
    </w:p>
    <w:p>
      <w:r>
        <w:rPr>
          <w:i/>
        </w:rPr>
        <w:t>Prepared from synthetic close records. Approval: Finance Controller role.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