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17365D"/>
          <w:sz w:val="44"/>
        </w:rPr>
        <w:t>CLOSE REVIEW MEMO</w:t>
      </w:r>
    </w:p>
    <w:p>
      <w:pPr>
        <w:spacing w:after="40"/>
      </w:pPr>
      <w:r>
        <w:rPr>
          <w:b/>
        </w:rPr>
        <w:t xml:space="preserve">To: </w:t>
      </w:r>
      <w:r>
        <w:t>Executive Team</w:t>
      </w:r>
    </w:p>
    <w:p>
      <w:pPr>
        <w:spacing w:after="40"/>
      </w:pPr>
      <w:r>
        <w:rPr>
          <w:b/>
        </w:rPr>
        <w:t xml:space="preserve">From: </w:t>
      </w:r>
      <w:r>
        <w:t>Finance Controller (role approval)</w:t>
      </w:r>
    </w:p>
    <w:p>
      <w:pPr>
        <w:spacing w:after="40"/>
      </w:pPr>
      <w:r>
        <w:rPr>
          <w:b/>
        </w:rPr>
        <w:t xml:space="preserve">Date: </w:t>
      </w:r>
      <w:r>
        <w:t>2026-03-05</w:t>
      </w:r>
    </w:p>
    <w:p>
      <w:pPr>
        <w:spacing w:after="40"/>
      </w:pPr>
      <w:r>
        <w:rPr>
          <w:b/>
        </w:rPr>
        <w:t xml:space="preserve">Subject: </w:t>
      </w:r>
      <w:r>
        <w:t>FY2026 Q1 February close review</w:t>
      </w:r>
    </w:p>
    <w:p>
      <w:pPr>
        <w:pStyle w:val="Heading1"/>
      </w:pPr>
      <w:r>
        <w:t>Decision summary</w:t>
      </w:r>
    </w:p>
    <w:p>
      <w:r>
        <w:t>The February close is certified for internal management reporting. Q1 revenue is JPY 1,842,000,000 and EBITDA is JPY 222,000,000, exceeding budget by JPY 42,000,000 and JPY 12,000,000 respectively.</w:t>
      </w:r>
    </w:p>
    <w:p>
      <w:pPr>
        <w:pStyle w:val="Heading1"/>
      </w:pPr>
      <w:r>
        <w:t>Close controls</w:t>
      </w:r>
    </w:p>
    <w:p>
      <w:r>
        <w:t>Trial balance and subledger controls were completed; AR, AP, and inventory balances reconcile to JPY 312,000,000, JPY 226,000,000, and JPY 418,000,000. Accruals and intercompany balances were reviewed under role-based approval.</w:t>
      </w:r>
    </w:p>
    <w:p>
      <w:pPr>
        <w:pStyle w:val="Heading1"/>
      </w:pPr>
      <w:r>
        <w:t>Later-quarter context</w:t>
      </w:r>
    </w:p>
    <w:p>
      <w:r>
        <w:t>March cash reconciliation is not part of the February certification. It shows ledger cash of JPY 498,600,000 versus bank cash of JPY 486,200,000, an unfavorable JPY 12,400,000 timing variance comprised of receipt timing, vendor timing, bank fees, and FX.</w:t>
      </w:r>
    </w:p>
    <w:p>
      <w:pPr>
        <w:pStyle w:val="Heading1"/>
      </w:pPr>
      <w:r>
        <w:t>Actions</w:t>
      </w:r>
    </w:p>
    <w:p>
      <w:pPr>
        <w:pStyle w:val="ListBullet"/>
      </w:pPr>
      <w:r>
        <w:t>Continue weekly collection follow-up on the receipt-timing queue.</w:t>
      </w:r>
    </w:p>
    <w:p>
      <w:pPr>
        <w:pStyle w:val="ListBullet"/>
      </w:pPr>
      <w:r>
        <w:t>Clear vendor timing items against remittance evidence.</w:t>
      </w:r>
    </w:p>
    <w:p>
      <w:pPr>
        <w:pStyle w:val="ListBullet"/>
      </w:pPr>
      <w:r>
        <w:t>Review logistics and materials cost trend at the next operating review.</w:t>
      </w:r>
    </w:p>
    <w:p>
      <w:r>
        <w:rPr>
          <w:i/>
        </w:rPr>
        <w:t>Synthetic Cedar Works management record. No external customer, employee, bank, or tax data is included.</w:t>
      </w:r>
    </w:p>
    <w:sectPr w:rsidR="00FC693F" w:rsidRPr="0006063C" w:rsidSect="00034616">
      <w:headerReference w:type="default" r:id="rId9"/>
      <w:pgSz w:w="12240" w:h="15840"/>
      <w:pgMar w:top="1152"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17365D"/>
        <w:sz w:val="18"/>
      </w:rPr>
      <w:t>CEDAR WORKS  |  FINANCE CONTROLLERSHIP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