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6"/>
        </w:rPr>
        <w:t>MARCH 2026 CLOSE REVIEW MEMO</w:t>
      </w:r>
    </w:p>
    <w:p>
      <w:pPr>
        <w:spacing w:after="320"/>
      </w:pPr>
      <w:r>
        <w:rPr>
          <w:color w:val="555555"/>
        </w:rPr>
        <w:t>Cedar Works | FY2026 Q1 | Completed 2026-04-06 | Currency: JPY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440"/>
        <w:gridCol w:w="7920"/>
      </w:tblGrid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To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Finance Leadership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From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Finance Control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7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March 2026 close completion and cash reconciliation</w:t>
            </w:r>
          </w:p>
        </w:tc>
      </w:tr>
    </w:tbl>
    <w:p>
      <w:pPr>
        <w:pStyle w:val="Heading1"/>
      </w:pPr>
      <w:r>
        <w:t>Executive conclusion</w:t>
      </w:r>
    </w:p>
    <w:p>
      <w:r>
        <w:t>March revenue was JPY 1,842,000,000 versus budget of JPY 1,800,000,000. EBITDA was JPY 222,000,000 versus budget of JPY 210,000,000. Gross profit was JPY 711,000,000 at a 38.6% margin.</w:t>
      </w:r>
    </w:p>
    <w:p>
      <w:pPr>
        <w:pStyle w:val="Heading1"/>
      </w:pPr>
      <w:r>
        <w:t>Cash reconciliation</w:t>
      </w:r>
    </w:p>
    <w:p>
      <w:r>
        <w:t>Bank cash of JPY 486,200,000 is JPY 12,400,000 below ledger cash of JPY 498,600,000. The difference is fully traceable: receipt timing JPY 7,200,000; vendor timing JPY 3,100,000; bank fees JPY 1,300,000; and FX JPY 800,000.</w:t>
      </w:r>
    </w:p>
    <w:p>
      <w:pPr>
        <w:pStyle w:val="Heading1"/>
      </w:pPr>
      <w:r>
        <w:t>Control status</w:t>
      </w:r>
    </w:p>
    <w:p>
      <w:r>
        <w:t>All reconciliation checks equal zero. AR of JPY 312,000,000, AP of JPY 226,000,000, and inventory of JPY 418,000,000 were reviewed before certification.</w:t>
      </w:r>
    </w:p>
    <w:p>
      <w:pPr>
        <w:pStyle w:val="Heading2"/>
      </w:pPr>
      <w:r>
        <w:t>Role approvals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Layout w:type="fixed"/>
        <w:tblInd w:w="120" w:type="dxa"/>
      </w:tblPr>
      <w:tblGrid>
        <w:gridCol w:w="2400"/>
        <w:gridCol w:w="4560"/>
        <w:gridCol w:w="240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Controller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Prepared close package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Complete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Treasury Lead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Reviewed cash bridge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Complete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Finance Director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Approved close certification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Approved</w:t>
            </w:r>
          </w:p>
        </w:tc>
      </w:tr>
    </w:tbl>
    <w:p>
      <w:pPr>
        <w:pStyle w:val="Heading1"/>
      </w:pPr>
      <w:r>
        <w:t>Next actions</w:t>
      </w:r>
    </w:p>
    <w:p>
      <w:r>
        <w:t>Clear timing items against the April bank statement and retain the role-approved close evidence with the March close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March 2026 Close Review Memo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4748B"/>
        <w:sz w:val="18"/>
      </w:rPr>
      <w:t>CEDAR WORKS  |  FINANCE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