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40"/>
        </w:rPr>
        <w:t>CEDAR WORKS</w:t>
        <w:br/>
        <w:t>FY2026 BASE-CASE FORECAST METHODOLOGY</w:t>
      </w:r>
    </w:p>
    <w:p>
      <w:r>
        <w:t>Version v1.0 | Scenario: Base Case | As of 2026-03-31 | Owner: Finance Controller (synthetic)</w:t>
      </w:r>
    </w:p>
    <w:p>
      <w:pPr>
        <w:pStyle w:val="Heading1"/>
      </w:pPr>
      <w:r>
        <w:t>Purpose</w:t>
      </w:r>
    </w:p>
    <w:p>
      <w:r>
        <w:t>This note documents the monthly FP&amp;A base case used for management review. Amounts are in JPY millions unless stated otherwise.</w:t>
      </w:r>
    </w:p>
    <w:p>
      <w:pPr>
        <w:pStyle w:val="Heading1"/>
      </w:pPr>
      <w:r>
        <w:t>Forecast framework</w:t>
      </w:r>
    </w:p>
    <w:p>
      <w:r>
        <w:t>Q1 is locked to actuals. April through December is a bottom-up monthly driver plan. Revenue, COGS, opex, headcount, working capital and cash are shown on a common monthly calendar.</w:t>
      </w:r>
    </w:p>
    <w:p>
      <w:pPr>
        <w:pStyle w:val="Heading1"/>
      </w:pPr>
      <w:r>
        <w:t>Core results</w:t>
      </w:r>
    </w:p>
    <w:p>
      <w:r>
        <w:t>FY2026 revenue is JPY 7,560m versus JPY 7,400m budget. EBITDA is JPY 900m versus JPY 860m budget. Q1 actual revenue is JPY 1,842m, COGS JPY 1,131m, gross profit JPY 711m, opex JPY 489m and EBITDA JPY 222m.</w:t>
      </w:r>
    </w:p>
    <w:p>
      <w:pPr>
        <w:pStyle w:val="Heading1"/>
      </w:pPr>
      <w:r>
        <w:t>Working capital and cash</w:t>
      </w:r>
    </w:p>
    <w:p>
      <w:r>
        <w:t>March AR is JPY 312m, AP JPY 226m and inventory JPY 418m. Bank cash of JPY 486.2m is JPY 12.4m below the ledger. The bridge is receipt timing JPY 7.2m, vendor timing JPY 3.1m, bank fees JPY 1.3m and FX JPY 0.8m.</w:t>
      </w:r>
    </w:p>
    <w:p>
      <w:pPr>
        <w:pStyle w:val="Heading1"/>
      </w:pPr>
      <w:r>
        <w:t>Controls</w:t>
      </w:r>
    </w:p>
    <w:p>
      <w:r>
        <w:t>Each workbook uses visible input cells, copy-across formulas, quarterly/year roll-ups, and a checks tab. Forecast totals reconcile to the CSV output and scenario JSON.</w:t>
      </w:r>
    </w:p>
    <w:p>
      <w:pPr>
        <w:pStyle w:val="Heading1"/>
      </w:pPr>
      <w:r>
        <w:t>Use and limitations</w:t>
      </w:r>
    </w:p>
    <w:p>
      <w:r>
        <w:t>This is synthetic management planning content, not statutory reporting. It does not contain bank accounts, customer data, employee PII, tax identifiers or credentials.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Budget</w:t>
            </w:r>
          </w:p>
        </w:tc>
        <w:tc>
          <w:tcPr>
            <w:tcW w:type="dxa" w:w="2880"/>
          </w:tcPr>
          <w:p>
            <w:r>
              <w:t>Base case</w:t>
            </w:r>
          </w:p>
        </w:tc>
      </w:tr>
      <w:tr>
        <w:tc>
          <w:tcPr>
            <w:tcW w:type="dxa" w:w="2880"/>
          </w:tcPr>
          <w:p>
            <w:r>
              <w:t>Revenue</w:t>
            </w:r>
          </w:p>
        </w:tc>
        <w:tc>
          <w:tcPr>
            <w:tcW w:type="dxa" w:w="2880"/>
          </w:tcPr>
          <w:p>
            <w:r>
              <w:t>7,400</w:t>
            </w:r>
          </w:p>
        </w:tc>
        <w:tc>
          <w:tcPr>
            <w:tcW w:type="dxa" w:w="2880"/>
          </w:tcPr>
          <w:p>
            <w:r>
              <w:t>7,560</w:t>
            </w:r>
          </w:p>
        </w:tc>
      </w:tr>
      <w:tr>
        <w:tc>
          <w:tcPr>
            <w:tcW w:type="dxa" w:w="2880"/>
          </w:tcPr>
          <w:p>
            <w:r>
              <w:t>EBITDA</w:t>
            </w:r>
          </w:p>
        </w:tc>
        <w:tc>
          <w:tcPr>
            <w:tcW w:type="dxa" w:w="2880"/>
          </w:tcPr>
          <w:p>
            <w:r>
              <w:t>860</w:t>
            </w:r>
          </w:p>
        </w:tc>
        <w:tc>
          <w:tcPr>
            <w:tcW w:type="dxa" w:w="2880"/>
          </w:tcPr>
          <w:p>
            <w:r>
              <w:t>900</w:t>
            </w:r>
          </w:p>
        </w:tc>
      </w:tr>
      <w:tr>
        <w:tc>
          <w:tcPr>
            <w:tcW w:type="dxa" w:w="2880"/>
          </w:tcPr>
          <w:p>
            <w:r>
              <w:t>EBITDA margin</w:t>
            </w:r>
          </w:p>
        </w:tc>
        <w:tc>
          <w:tcPr>
            <w:tcW w:type="dxa" w:w="2880"/>
          </w:tcPr>
          <w:p>
            <w:r>
              <w:t>11.6%</w:t>
            </w:r>
          </w:p>
        </w:tc>
        <w:tc>
          <w:tcPr>
            <w:tcW w:type="dxa" w:w="2880"/>
          </w:tcPr>
          <w:p>
            <w:r>
              <w:t>11.9%</w:t>
            </w:r>
          </w:p>
        </w:tc>
      </w:tr>
    </w:tbl>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