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7365D"/>
          <w:sz w:val="44"/>
        </w:rPr>
        <w:t>Operating Model Change Control</w:t>
      </w:r>
    </w:p>
    <w:p>
      <w:pPr>
        <w:spacing w:after="280"/>
      </w:pPr>
      <w:r>
        <w:rPr>
          <w:color w:val="5B6573"/>
          <w:sz w:val="20"/>
        </w:rPr>
        <w:t>Control procedure | Cedar Works FY2026 Operating Model | v1.0 | 2026-04-06</w:t>
      </w:r>
    </w:p>
    <w:p>
      <w:pPr>
        <w:pStyle w:val="Heading1"/>
        <w:spacing w:before="200" w:after="100"/>
      </w:pPr>
      <w:r>
        <w:rPr>
          <w:color w:val="17365D"/>
        </w:rPr>
        <w:t>Purpose</w:t>
      </w:r>
    </w:p>
    <w:p>
      <w:pPr>
        <w:spacing w:after="120"/>
      </w:pPr>
      <w:r>
        <w:t>This procedure protects traceability, ownership, and formula integrity for the FY2026 monthly operating model.</w:t>
      </w:r>
    </w:p>
    <w:p>
      <w:pPr>
        <w:pStyle w:val="Heading1"/>
        <w:spacing w:before="200" w:after="100"/>
      </w:pPr>
      <w:r>
        <w:rPr>
          <w:color w:val="17365D"/>
        </w:rPr>
        <w:t>Controlled change workflow</w:t>
      </w:r>
    </w:p>
    <w:p>
      <w:pPr>
        <w:spacing w:after="120"/>
      </w:pPr>
      <w:r>
        <w:t>1. Log the requested change and business rationale. 2. FP&amp;A updates assumptions or drivers. 3. Finance Controller reviews formulas, scenario outcomes, and checks. 4. Close Lead or Treasury confirms actual/treasury changes. 5. Release a new version with validation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Change type</w:t>
            </w:r>
          </w:p>
        </w:tc>
        <w:tc>
          <w:tcPr>
            <w:tcW w:type="dxa" w:w="3312"/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 owner</w:t>
            </w:r>
          </w:p>
        </w:tc>
        <w:tc>
          <w:tcPr>
            <w:tcW w:type="dxa" w:w="3312"/>
            <w:vAlign w:val="center"/>
            <w:shd w:fill="17365D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Required evidence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Revenue / EBITDA assumption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FP&amp;A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Scenario impact and source basis.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Q1 actual anchor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Close Lead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Close package tie-out.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March bank / bridge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Treasury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Bank balance and component bridge.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Formula / layout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Finance Controller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Calibri" w:hAnsi="Calibri"/>
                <w:b w:val="0"/>
                <w:sz w:val="18"/>
              </w:rPr>
              <w:t>Formula scan and rendered QA.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color w:val="17365D"/>
        </w:rPr>
        <w:t>Acceptance gates</w:t>
      </w:r>
    </w:p>
    <w:p>
      <w:pPr>
        <w:spacing w:after="120"/>
      </w:pPr>
      <w:r>
        <w:t>Release only when all Checks display PASS, the cash bridge equals JPY 12.4m unfavorable, the workbook renders legibly, and the assumptions JSON, PDF references, and version history remain aligned.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FY2026 Operating Model | v1.0 | 2026-04-06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CEDAR WORKS | FINANCE CONTROLS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Model Change Control</dc:title>
  <dc:subject/>
  <dc:creator>Cedar Works Finance Controller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