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7365D"/>
          <w:sz w:val="44"/>
        </w:rPr>
        <w:t>Operating Model User Guide</w:t>
      </w:r>
    </w:p>
    <w:p>
      <w:pPr>
        <w:spacing w:after="280"/>
      </w:pPr>
      <w:r>
        <w:rPr>
          <w:color w:val="5B6573"/>
          <w:sz w:val="20"/>
        </w:rPr>
        <w:t>Cedar Works FY2026 | operating model navigation and refresh guide</w:t>
      </w:r>
    </w:p>
    <w:p>
      <w:pPr>
        <w:pStyle w:val="Heading1"/>
        <w:spacing w:before="200" w:after="100"/>
      </w:pPr>
      <w:r>
        <w:rPr>
          <w:color w:val="17365D"/>
        </w:rPr>
        <w:t>Start here</w:t>
      </w:r>
    </w:p>
    <w:p>
      <w:pPr>
        <w:spacing w:after="120"/>
      </w:pPr>
      <w:r>
        <w:t>Use Cover Summary for management KPIs. The workbook uses JPY millions and a monthly April-March planning calendar. Blue font and yellow fill identify editable inputs; green font denotes inter-sheet links; black font denotes formulas.</w:t>
      </w:r>
    </w:p>
    <w:p>
      <w:pPr>
        <w:pStyle w:val="Heading1"/>
        <w:spacing w:before="200" w:after="100"/>
      </w:pPr>
      <w:r>
        <w:rPr>
          <w:color w:val="17365D"/>
        </w:rPr>
        <w:t>Monthly refresh</w:t>
      </w:r>
    </w:p>
    <w:p>
      <w:pPr>
        <w:spacing w:after="120"/>
      </w:pPr>
      <w:r>
        <w:t>1. Refresh controlled actuals and close anchors. 2. Update FP&amp;A assumptions only on Assumptions or Drivers. 3. Select the governed case in Assumptions. 4. Review Monthly Model and Scenarios. 5. Confirm Checks are PASS. 6. Update version history and circulate the validation report.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Pr>
                <w:rFonts w:ascii="Calibri" w:hAnsi="Calibri"/>
                <w:b/>
                <w:color w:val="FFFFFF"/>
                <w:sz w:val="18"/>
              </w:rPr>
              <w:t>Sheet</w:t>
            </w:r>
          </w:p>
        </w:tc>
        <w:tc>
          <w:tcPr>
            <w:tcW w:type="dxa" w:w="3312"/>
            <w:vAlign w:val="center"/>
            <w:shd w:fill="17365D"/>
          </w:tcPr>
          <w:p>
            <w:r>
              <w:rPr>
                <w:rFonts w:ascii="Calibri" w:hAnsi="Calibri"/>
                <w:b/>
                <w:color w:val="FFFFFF"/>
                <w:sz w:val="18"/>
              </w:rPr>
              <w:t>Use</w:t>
            </w:r>
          </w:p>
        </w:tc>
        <w:tc>
          <w:tcPr>
            <w:tcW w:type="dxa" w:w="3312"/>
            <w:vAlign w:val="center"/>
            <w:shd w:fill="17365D"/>
          </w:tcPr>
          <w:p>
            <w:r>
              <w:rPr>
                <w:rFonts w:ascii="Calibri" w:hAnsi="Calibri"/>
                <w:b/>
                <w:color w:val="FFFFFF"/>
                <w:sz w:val="18"/>
              </w:rPr>
              <w:t>Primary owner</w:t>
            </w:r>
          </w:p>
        </w:tc>
      </w:tr>
      <w:tr>
        <w:tc>
          <w:tcPr>
            <w:tcW w:type="dxa" w:w="3312"/>
            <w:vAlign w:val="center"/>
          </w:tcPr>
          <w:p>
            <w:r>
              <w:rPr>
                <w:rFonts w:ascii="Calibri" w:hAnsi="Calibri"/>
                <w:b w:val="0"/>
                <w:sz w:val="18"/>
              </w:rPr>
              <w:t>Cover Summary</w:t>
            </w:r>
          </w:p>
        </w:tc>
        <w:tc>
          <w:tcPr>
            <w:tcW w:type="dxa" w:w="3312"/>
            <w:vAlign w:val="center"/>
          </w:tcPr>
          <w:p>
            <w:r>
              <w:rPr>
                <w:rFonts w:ascii="Calibri" w:hAnsi="Calibri"/>
                <w:b w:val="0"/>
                <w:sz w:val="18"/>
              </w:rPr>
              <w:t>Decision KPIs and navigation</w:t>
            </w:r>
          </w:p>
        </w:tc>
        <w:tc>
          <w:tcPr>
            <w:tcW w:type="dxa" w:w="3312"/>
            <w:vAlign w:val="center"/>
          </w:tcPr>
          <w:p>
            <w:r>
              <w:rPr>
                <w:rFonts w:ascii="Calibri" w:hAnsi="Calibri"/>
                <w:b w:val="0"/>
                <w:sz w:val="18"/>
              </w:rPr>
              <w:t>Finance Controller</w:t>
            </w:r>
          </w:p>
        </w:tc>
      </w:tr>
      <w:tr>
        <w:tc>
          <w:tcPr>
            <w:tcW w:type="dxa" w:w="3312"/>
            <w:vAlign w:val="center"/>
          </w:tcPr>
          <w:p>
            <w:r>
              <w:rPr>
                <w:rFonts w:ascii="Calibri" w:hAnsi="Calibri"/>
                <w:b w:val="0"/>
                <w:sz w:val="18"/>
              </w:rPr>
              <w:t>Assumptions / Drivers</w:t>
            </w:r>
          </w:p>
        </w:tc>
        <w:tc>
          <w:tcPr>
            <w:tcW w:type="dxa" w:w="3312"/>
            <w:vAlign w:val="center"/>
          </w:tcPr>
          <w:p>
            <w:r>
              <w:rPr>
                <w:rFonts w:ascii="Calibri" w:hAnsi="Calibri"/>
                <w:b w:val="0"/>
                <w:sz w:val="18"/>
              </w:rPr>
              <w:t>Controlled editable inputs</w:t>
            </w:r>
          </w:p>
        </w:tc>
        <w:tc>
          <w:tcPr>
            <w:tcW w:type="dxa" w:w="3312"/>
            <w:vAlign w:val="center"/>
          </w:tcPr>
          <w:p>
            <w:r>
              <w:rPr>
                <w:rFonts w:ascii="Calibri" w:hAnsi="Calibri"/>
                <w:b w:val="0"/>
                <w:sz w:val="18"/>
              </w:rPr>
              <w:t>FP&amp;A</w:t>
            </w:r>
          </w:p>
        </w:tc>
      </w:tr>
      <w:tr>
        <w:tc>
          <w:tcPr>
            <w:tcW w:type="dxa" w:w="3312"/>
            <w:vAlign w:val="center"/>
          </w:tcPr>
          <w:p>
            <w:r>
              <w:rPr>
                <w:rFonts w:ascii="Calibri" w:hAnsi="Calibri"/>
                <w:b w:val="0"/>
                <w:sz w:val="18"/>
              </w:rPr>
              <w:t>Monthly Model</w:t>
            </w:r>
          </w:p>
        </w:tc>
        <w:tc>
          <w:tcPr>
            <w:tcW w:type="dxa" w:w="3312"/>
            <w:vAlign w:val="center"/>
          </w:tcPr>
          <w:p>
            <w:r>
              <w:rPr>
                <w:rFonts w:ascii="Calibri" w:hAnsi="Calibri"/>
                <w:b w:val="0"/>
                <w:sz w:val="18"/>
              </w:rPr>
              <w:t>Formula-driven operating plan</w:t>
            </w:r>
          </w:p>
        </w:tc>
        <w:tc>
          <w:tcPr>
            <w:tcW w:type="dxa" w:w="3312"/>
            <w:vAlign w:val="center"/>
          </w:tcPr>
          <w:p>
            <w:r>
              <w:rPr>
                <w:rFonts w:ascii="Calibri" w:hAnsi="Calibri"/>
                <w:b w:val="0"/>
                <w:sz w:val="18"/>
              </w:rPr>
              <w:t>Finance Controller</w:t>
            </w:r>
          </w:p>
        </w:tc>
      </w:tr>
      <w:tr>
        <w:tc>
          <w:tcPr>
            <w:tcW w:type="dxa" w:w="3312"/>
            <w:vAlign w:val="center"/>
          </w:tcPr>
          <w:p>
            <w:r>
              <w:rPr>
                <w:rFonts w:ascii="Calibri" w:hAnsi="Calibri"/>
                <w:b w:val="0"/>
                <w:sz w:val="18"/>
              </w:rPr>
              <w:t>Scenarios</w:t>
            </w:r>
          </w:p>
        </w:tc>
        <w:tc>
          <w:tcPr>
            <w:tcW w:type="dxa" w:w="3312"/>
            <w:vAlign w:val="center"/>
          </w:tcPr>
          <w:p>
            <w:r>
              <w:rPr>
                <w:rFonts w:ascii="Calibri" w:hAnsi="Calibri"/>
                <w:b w:val="0"/>
                <w:sz w:val="18"/>
              </w:rPr>
              <w:t>Budget, base, downside, upside</w:t>
            </w:r>
          </w:p>
        </w:tc>
        <w:tc>
          <w:tcPr>
            <w:tcW w:type="dxa" w:w="3312"/>
            <w:vAlign w:val="center"/>
          </w:tcPr>
          <w:p>
            <w:r>
              <w:rPr>
                <w:rFonts w:ascii="Calibri" w:hAnsi="Calibri"/>
                <w:b w:val="0"/>
                <w:sz w:val="18"/>
              </w:rPr>
              <w:t>Finance Controller</w:t>
            </w:r>
          </w:p>
        </w:tc>
      </w:tr>
      <w:tr>
        <w:tc>
          <w:tcPr>
            <w:tcW w:type="dxa" w:w="3312"/>
            <w:vAlign w:val="center"/>
          </w:tcPr>
          <w:p>
            <w:r>
              <w:rPr>
                <w:rFonts w:ascii="Calibri" w:hAnsi="Calibri"/>
                <w:b w:val="0"/>
                <w:sz w:val="18"/>
              </w:rPr>
              <w:t>Checks / Sources Audit</w:t>
            </w:r>
          </w:p>
        </w:tc>
        <w:tc>
          <w:tcPr>
            <w:tcW w:type="dxa" w:w="3312"/>
            <w:vAlign w:val="center"/>
          </w:tcPr>
          <w:p>
            <w:r>
              <w:rPr>
                <w:rFonts w:ascii="Calibri" w:hAnsi="Calibri"/>
                <w:b w:val="0"/>
                <w:sz w:val="18"/>
              </w:rPr>
              <w:t>Reconciliation and traceability</w:t>
            </w:r>
          </w:p>
        </w:tc>
        <w:tc>
          <w:tcPr>
            <w:tcW w:type="dxa" w:w="3312"/>
            <w:vAlign w:val="center"/>
          </w:tcPr>
          <w:p>
            <w:r>
              <w:rPr>
                <w:rFonts w:ascii="Calibri" w:hAnsi="Calibri"/>
                <w:b w:val="0"/>
                <w:sz w:val="18"/>
              </w:rPr>
              <w:t>Finance Controller</w:t>
            </w:r>
          </w:p>
        </w:tc>
      </w:tr>
    </w:tbl>
    <w:p>
      <w:pPr>
        <w:spacing w:after="80"/>
      </w:pPr>
    </w:p>
    <w:p>
      <w:pPr>
        <w:pStyle w:val="Heading1"/>
        <w:spacing w:before="200" w:after="100"/>
      </w:pPr>
      <w:r>
        <w:rPr>
          <w:color w:val="17365D"/>
        </w:rPr>
        <w:t>Cash variance</w:t>
      </w:r>
    </w:p>
    <w:p>
      <w:pPr>
        <w:spacing w:after="120"/>
      </w:pPr>
      <w:r>
        <w:t>At March close, bank balance is JPY 486.2m and ledger balance is JPY 498.6m. The JPY 12.4m unfavorable difference is explained by JPY 7.2m, 3.1m, 1.3m, and 0.8m components. Do not overwrite the formula-derived bridge total.</w:t>
      </w:r>
    </w:p>
    <w:sectPr w:rsidR="00FC693F" w:rsidRPr="0006063C" w:rsidSect="00034616">
      <w:headerReference w:type="default" r:id="rId9"/>
      <w:footerReference w:type="default" r:id="rId10"/>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FY2026 Operating Model | v1.0 | 2026-04-06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B6573"/>
        <w:sz w:val="16"/>
      </w:rPr>
      <w:t>CEDAR WORKS | FINANCE CONTROLS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Model User Guide</dc:title>
  <dc:subject/>
  <dc:creator>Cedar Works Finance Controller</dc:creator>
  <cp:keywords/>
  <dc:description>generated by python-docx</dc:description>
  <cp:lastModifiedBy/>
  <cp:revision>1</cp:revision>
  <dcterms:created xsi:type="dcterms:W3CDTF">2013-12-23T23:15:00Z</dcterms:created>
  <dcterms:modified xsi:type="dcterms:W3CDTF">2013-12-23T23:15:00Z</dcterms:modified>
  <cp:category/>
</cp:coreProperties>
</file>